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123DD" w14:textId="5B071495" w:rsidR="00E90E49" w:rsidRPr="0012661E" w:rsidRDefault="00E90E49" w:rsidP="00B219BD">
      <w:pPr>
        <w:pStyle w:val="3GPPHeader"/>
        <w:spacing w:after="60"/>
        <w:rPr>
          <w:sz w:val="32"/>
          <w:szCs w:val="32"/>
        </w:rPr>
      </w:pPr>
      <w:r w:rsidRPr="00CE0424">
        <w:t>3GPP TSG-RAN WG</w:t>
      </w:r>
      <w:r w:rsidR="00F20F5C">
        <w:t>2</w:t>
      </w:r>
      <w:r w:rsidRPr="00CE0424">
        <w:t xml:space="preserve"> #</w:t>
      </w:r>
      <w:r w:rsidR="00F20F5C">
        <w:t>1</w:t>
      </w:r>
      <w:r w:rsidR="00C268E6">
        <w:t>1</w:t>
      </w:r>
      <w:r w:rsidR="00914164">
        <w:t>5</w:t>
      </w:r>
      <w:r w:rsidR="00E1466E">
        <w:t>-</w:t>
      </w:r>
      <w:r w:rsidR="00F20F5C">
        <w:t>e</w:t>
      </w:r>
      <w:r w:rsidRPr="00CE0424">
        <w:tab/>
      </w:r>
      <w:r w:rsidR="00810E6F" w:rsidRPr="00810E6F">
        <w:rPr>
          <w:sz w:val="32"/>
          <w:szCs w:val="32"/>
          <w:lang w:val="en-US"/>
        </w:rPr>
        <w:t>R2-2108087</w:t>
      </w:r>
    </w:p>
    <w:p w14:paraId="5DB8F47A" w14:textId="3A540913" w:rsidR="00E56245" w:rsidRPr="00CE0424" w:rsidRDefault="00E56245" w:rsidP="00E56245">
      <w:pPr>
        <w:pStyle w:val="3GPPHeader"/>
      </w:pPr>
      <w:r>
        <w:t xml:space="preserve">Electronic meeting, </w:t>
      </w:r>
      <w:r w:rsidR="00453FE3">
        <w:t>2021-08-</w:t>
      </w:r>
      <w:r w:rsidR="00453FE3">
        <w:rPr>
          <w:rFonts w:eastAsia="SimSun"/>
          <w:noProof/>
          <w:lang w:val="de-DE"/>
        </w:rPr>
        <w:t>16</w:t>
      </w:r>
      <w:r w:rsidR="00453FE3" w:rsidRPr="007C6596">
        <w:rPr>
          <w:rFonts w:eastAsia="SimSun"/>
          <w:noProof/>
          <w:lang w:val="de-DE"/>
        </w:rPr>
        <w:t xml:space="preserve"> </w:t>
      </w:r>
      <w:r w:rsidR="00453FE3">
        <w:rPr>
          <w:rFonts w:eastAsia="SimSun"/>
          <w:noProof/>
          <w:lang w:val="de-DE"/>
        </w:rPr>
        <w:t>– 2021-08-27</w:t>
      </w:r>
    </w:p>
    <w:p w14:paraId="133905D3" w14:textId="77777777" w:rsidR="00E90E49" w:rsidRPr="00CE0424" w:rsidRDefault="00E90E49" w:rsidP="00357380">
      <w:pPr>
        <w:pStyle w:val="3GPPHeader"/>
      </w:pPr>
    </w:p>
    <w:p w14:paraId="0DA12E25" w14:textId="026C6C87" w:rsidR="00E90E49" w:rsidRPr="00575B27" w:rsidRDefault="00E90E49" w:rsidP="00311702">
      <w:pPr>
        <w:pStyle w:val="3GPPHeader"/>
        <w:rPr>
          <w:sz w:val="22"/>
          <w:szCs w:val="22"/>
          <w:lang w:val="en-US"/>
        </w:rPr>
      </w:pPr>
      <w:r w:rsidRPr="00575B27">
        <w:rPr>
          <w:sz w:val="22"/>
          <w:szCs w:val="22"/>
          <w:lang w:val="en-US"/>
        </w:rPr>
        <w:t>Agenda Item:</w:t>
      </w:r>
      <w:r w:rsidRPr="00575B27">
        <w:rPr>
          <w:sz w:val="22"/>
          <w:szCs w:val="22"/>
          <w:lang w:val="en-US"/>
        </w:rPr>
        <w:tab/>
      </w:r>
      <w:r w:rsidR="009A2929" w:rsidRPr="00D73FAF">
        <w:rPr>
          <w:sz w:val="22"/>
          <w:szCs w:val="22"/>
          <w:lang w:val="en-US"/>
        </w:rPr>
        <w:t>8</w:t>
      </w:r>
      <w:r w:rsidR="00311702" w:rsidRPr="00D73FAF">
        <w:rPr>
          <w:sz w:val="22"/>
          <w:szCs w:val="22"/>
          <w:lang w:val="en-US"/>
        </w:rPr>
        <w:t>.</w:t>
      </w:r>
      <w:r w:rsidR="009A2929" w:rsidRPr="00D73FAF">
        <w:rPr>
          <w:sz w:val="22"/>
          <w:szCs w:val="22"/>
          <w:lang w:val="en-US"/>
        </w:rPr>
        <w:t>6</w:t>
      </w:r>
      <w:r w:rsidR="00311702" w:rsidRPr="00D73FAF">
        <w:rPr>
          <w:sz w:val="22"/>
          <w:szCs w:val="22"/>
          <w:lang w:val="en-US"/>
        </w:rPr>
        <w:t>.</w:t>
      </w:r>
      <w:r w:rsidR="009A2929" w:rsidRPr="00D73FAF">
        <w:rPr>
          <w:sz w:val="22"/>
          <w:szCs w:val="22"/>
          <w:lang w:val="en-US"/>
        </w:rPr>
        <w:t>2</w:t>
      </w:r>
    </w:p>
    <w:p w14:paraId="7B7407A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D564CB7" w14:textId="593E6A5F" w:rsidR="00E90E49" w:rsidRPr="00CE0424" w:rsidRDefault="003D3C45" w:rsidP="00311702">
      <w:pPr>
        <w:pStyle w:val="3GPPHeader"/>
        <w:rPr>
          <w:sz w:val="22"/>
          <w:szCs w:val="22"/>
        </w:rPr>
      </w:pPr>
      <w:r>
        <w:rPr>
          <w:sz w:val="22"/>
          <w:szCs w:val="22"/>
        </w:rPr>
        <w:t>Title:</w:t>
      </w:r>
      <w:r w:rsidR="00E90E49" w:rsidRPr="00CE0424">
        <w:rPr>
          <w:sz w:val="22"/>
          <w:szCs w:val="22"/>
        </w:rPr>
        <w:tab/>
      </w:r>
      <w:r w:rsidR="00E623BA">
        <w:rPr>
          <w:sz w:val="22"/>
          <w:szCs w:val="22"/>
        </w:rPr>
        <w:t>Common</w:t>
      </w:r>
      <w:r w:rsidR="009F342B">
        <w:rPr>
          <w:sz w:val="22"/>
          <w:szCs w:val="22"/>
        </w:rPr>
        <w:t xml:space="preserve"> </w:t>
      </w:r>
      <w:r w:rsidR="00EA3381">
        <w:rPr>
          <w:sz w:val="22"/>
          <w:szCs w:val="22"/>
        </w:rPr>
        <w:t>a</w:t>
      </w:r>
      <w:r w:rsidR="00027C52">
        <w:rPr>
          <w:sz w:val="22"/>
          <w:szCs w:val="22"/>
        </w:rPr>
        <w:t>spects for SDT</w:t>
      </w:r>
    </w:p>
    <w:p w14:paraId="70FFEEE1" w14:textId="4A1941B9" w:rsidR="00E90E49" w:rsidRPr="00CE0424" w:rsidRDefault="00E90E49" w:rsidP="00EC548B">
      <w:pPr>
        <w:pStyle w:val="3GPPHeader"/>
      </w:pPr>
      <w:r w:rsidRPr="00CE0424">
        <w:rPr>
          <w:sz w:val="22"/>
          <w:szCs w:val="22"/>
        </w:rPr>
        <w:t>Document for:</w:t>
      </w:r>
      <w:r w:rsidRPr="00CE0424">
        <w:rPr>
          <w:sz w:val="22"/>
          <w:szCs w:val="22"/>
        </w:rPr>
        <w:tab/>
      </w:r>
      <w:r w:rsidRPr="00EC548B">
        <w:rPr>
          <w:sz w:val="22"/>
          <w:szCs w:val="22"/>
        </w:rPr>
        <w:t>Discussion, Decision</w:t>
      </w:r>
    </w:p>
    <w:p w14:paraId="257C21CE" w14:textId="77777777" w:rsidR="00E90E49" w:rsidRPr="00CE0424" w:rsidRDefault="00230D18" w:rsidP="00CE0424">
      <w:pPr>
        <w:pStyle w:val="Heading1"/>
      </w:pPr>
      <w:r>
        <w:t>1</w:t>
      </w:r>
      <w:r>
        <w:tab/>
      </w:r>
      <w:r w:rsidR="00E90E49" w:rsidRPr="00CE0424">
        <w:t>Introduction</w:t>
      </w:r>
    </w:p>
    <w:p w14:paraId="71C4CA20" w14:textId="7F5FD688" w:rsidR="00AA0AA7" w:rsidRDefault="0073254D" w:rsidP="00B355BA">
      <w:pPr>
        <w:tabs>
          <w:tab w:val="left" w:pos="1622"/>
        </w:tabs>
        <w:overflowPunct/>
        <w:autoSpaceDE/>
        <w:autoSpaceDN/>
        <w:adjustRightInd/>
        <w:spacing w:after="0"/>
        <w:ind w:left="363" w:hanging="363"/>
        <w:textAlignment w:val="auto"/>
        <w:rPr>
          <w:rFonts w:ascii="Arial" w:eastAsia="MS Mincho" w:hAnsi="Arial"/>
          <w:szCs w:val="24"/>
          <w:lang w:eastAsia="en-GB"/>
        </w:rPr>
      </w:pPr>
      <w:r w:rsidRPr="00B355BA">
        <w:rPr>
          <w:rFonts w:ascii="Arial" w:eastAsia="MS Mincho" w:hAnsi="Arial"/>
          <w:szCs w:val="24"/>
          <w:lang w:eastAsia="en-GB"/>
        </w:rPr>
        <w:t xml:space="preserve">This contribution discusses some of the </w:t>
      </w:r>
      <w:r w:rsidR="00377533">
        <w:rPr>
          <w:rFonts w:ascii="Arial" w:eastAsia="MS Mincho" w:hAnsi="Arial"/>
          <w:szCs w:val="24"/>
          <w:lang w:eastAsia="en-GB"/>
        </w:rPr>
        <w:t>unresolved</w:t>
      </w:r>
      <w:r w:rsidR="00377533" w:rsidRPr="00B355BA">
        <w:rPr>
          <w:rFonts w:ascii="Arial" w:eastAsia="MS Mincho" w:hAnsi="Arial"/>
          <w:szCs w:val="24"/>
          <w:lang w:eastAsia="en-GB"/>
        </w:rPr>
        <w:t xml:space="preserve"> </w:t>
      </w:r>
      <w:r w:rsidRPr="00B355BA">
        <w:rPr>
          <w:rFonts w:ascii="Arial" w:eastAsia="MS Mincho" w:hAnsi="Arial"/>
          <w:szCs w:val="24"/>
          <w:lang w:eastAsia="en-GB"/>
        </w:rPr>
        <w:t>issue</w:t>
      </w:r>
      <w:r w:rsidR="00AA0AA7" w:rsidRPr="00B355BA">
        <w:rPr>
          <w:rFonts w:ascii="Arial" w:eastAsia="MS Mincho" w:hAnsi="Arial"/>
          <w:szCs w:val="24"/>
          <w:lang w:eastAsia="en-GB"/>
        </w:rPr>
        <w:t>s left from the agreements made so far</w:t>
      </w:r>
      <w:r w:rsidR="008D2B14" w:rsidRPr="00B355BA">
        <w:rPr>
          <w:rFonts w:ascii="Arial" w:eastAsia="MS Mincho" w:hAnsi="Arial"/>
          <w:szCs w:val="24"/>
          <w:lang w:eastAsia="en-GB"/>
        </w:rPr>
        <w:t xml:space="preserve">, </w:t>
      </w:r>
      <w:r w:rsidR="00AA0AA7" w:rsidRPr="00B355BA">
        <w:rPr>
          <w:rFonts w:ascii="Arial" w:eastAsia="MS Mincho" w:hAnsi="Arial"/>
          <w:szCs w:val="24"/>
          <w:lang w:eastAsia="en-GB"/>
        </w:rPr>
        <w:t>i.e.</w:t>
      </w:r>
    </w:p>
    <w:p w14:paraId="3ADBAE45" w14:textId="3A7C6778" w:rsidR="00377533" w:rsidRDefault="00B56EC1"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sidRPr="00673624">
        <w:rPr>
          <w:rFonts w:ascii="Arial" w:eastAsia="MS Mincho" w:hAnsi="Arial"/>
          <w:szCs w:val="24"/>
          <w:lang w:eastAsia="en-GB"/>
        </w:rPr>
        <w:t>SUL NUL selection</w:t>
      </w:r>
    </w:p>
    <w:p w14:paraId="19F08312" w14:textId="3501FD81" w:rsidR="00B56EC1" w:rsidRPr="00673624" w:rsidRDefault="00B56EC1"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Pr>
          <w:rFonts w:ascii="Arial" w:eastAsia="MS Mincho" w:hAnsi="Arial"/>
          <w:szCs w:val="24"/>
          <w:lang w:val="sv-SE" w:eastAsia="en-GB"/>
        </w:rPr>
        <w:t xml:space="preserve">BSR </w:t>
      </w:r>
      <w:r w:rsidR="00006C11">
        <w:rPr>
          <w:rFonts w:ascii="Arial" w:eastAsia="MS Mincho" w:hAnsi="Arial"/>
          <w:szCs w:val="24"/>
          <w:lang w:val="sv-SE" w:eastAsia="en-GB"/>
        </w:rPr>
        <w:t>framework</w:t>
      </w:r>
    </w:p>
    <w:p w14:paraId="144C4A36" w14:textId="12F399BB" w:rsidR="00BA1AE7" w:rsidRPr="00673624" w:rsidRDefault="00BA1AE7"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Pr>
          <w:rFonts w:ascii="Arial" w:eastAsia="MS Mincho" w:hAnsi="Arial"/>
          <w:szCs w:val="24"/>
          <w:lang w:val="en-US" w:eastAsia="en-GB"/>
        </w:rPr>
        <w:t>PHR</w:t>
      </w:r>
    </w:p>
    <w:p w14:paraId="1B8BCF79" w14:textId="02750B3C" w:rsidR="00BA1AE7" w:rsidRPr="00673624" w:rsidRDefault="00BA1AE7"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Pr>
          <w:rFonts w:ascii="Arial" w:eastAsia="MS Mincho" w:hAnsi="Arial"/>
          <w:szCs w:val="24"/>
          <w:lang w:val="en-US" w:eastAsia="en-GB"/>
        </w:rPr>
        <w:t>DVT</w:t>
      </w:r>
    </w:p>
    <w:p w14:paraId="4FC76267" w14:textId="562F6282" w:rsidR="00A82DC6" w:rsidRPr="00673624" w:rsidRDefault="00F66EFC"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Pr>
          <w:rFonts w:ascii="Arial" w:eastAsia="MS Mincho" w:hAnsi="Arial"/>
          <w:szCs w:val="24"/>
          <w:lang w:val="en-US" w:eastAsia="en-GB"/>
        </w:rPr>
        <w:t>Logical channel restrictions</w:t>
      </w:r>
    </w:p>
    <w:p w14:paraId="29EDF8ED" w14:textId="77777777" w:rsidR="00B56EC1" w:rsidRDefault="00B56EC1" w:rsidP="00B355BA">
      <w:pPr>
        <w:tabs>
          <w:tab w:val="left" w:pos="1622"/>
        </w:tabs>
        <w:overflowPunct/>
        <w:autoSpaceDE/>
        <w:autoSpaceDN/>
        <w:adjustRightInd/>
        <w:spacing w:after="0"/>
        <w:ind w:left="363" w:hanging="363"/>
        <w:textAlignment w:val="auto"/>
        <w:rPr>
          <w:noProof/>
          <w:lang w:eastAsia="ko-KR"/>
        </w:rPr>
      </w:pPr>
    </w:p>
    <w:p w14:paraId="258269AF" w14:textId="06E35DA7" w:rsidR="004000E8" w:rsidRDefault="00230D18" w:rsidP="00CE0424">
      <w:pPr>
        <w:pStyle w:val="Heading1"/>
      </w:pPr>
      <w:bookmarkStart w:id="0" w:name="_Ref178064866"/>
      <w:r>
        <w:t>2</w:t>
      </w:r>
      <w:r>
        <w:tab/>
      </w:r>
      <w:r w:rsidR="004000E8" w:rsidRPr="00CE0424">
        <w:t>Discussion</w:t>
      </w:r>
      <w:bookmarkEnd w:id="0"/>
    </w:p>
    <w:p w14:paraId="171D125A" w14:textId="26E628A6" w:rsidR="00F63950" w:rsidRDefault="00230D18" w:rsidP="00F63950">
      <w:pPr>
        <w:pStyle w:val="Heading2"/>
      </w:pPr>
      <w:r>
        <w:t>2.1</w:t>
      </w:r>
      <w:r>
        <w:tab/>
      </w:r>
      <w:r w:rsidR="007D2E03">
        <w:t>Overall Procedure</w:t>
      </w:r>
    </w:p>
    <w:p w14:paraId="6F39D38A" w14:textId="544084BD" w:rsidR="003738D9" w:rsidRDefault="004027A8" w:rsidP="00094A39">
      <w:pPr>
        <w:pStyle w:val="BodyText"/>
      </w:pPr>
      <w:r>
        <w:t>After RAN2#113bis-e,</w:t>
      </w:r>
      <w:r w:rsidR="003738D9">
        <w:t xml:space="preserve"> there seems to be a general consensus between companies of the overall procedure</w:t>
      </w:r>
      <w:r w:rsidR="008D0F4C">
        <w:t xml:space="preserve"> at SDT initiation</w:t>
      </w:r>
      <w:r w:rsidR="003738D9">
        <w:t xml:space="preserve">, </w:t>
      </w:r>
      <w:r w:rsidR="007C7768">
        <w:t>o</w:t>
      </w:r>
      <w:r w:rsidR="003738D9">
        <w:t xml:space="preserve">ur understanding of the consensus is depicted in </w:t>
      </w:r>
      <w:r w:rsidR="003738D9">
        <w:fldChar w:fldCharType="begin"/>
      </w:r>
      <w:r w:rsidR="003738D9">
        <w:instrText xml:space="preserve"> REF _Ref67382982 \h </w:instrText>
      </w:r>
      <w:r w:rsidR="007C7768">
        <w:instrText xml:space="preserve"> \* MERGEFORMAT </w:instrText>
      </w:r>
      <w:r w:rsidR="003738D9">
        <w:fldChar w:fldCharType="separate"/>
      </w:r>
      <w:r w:rsidR="003738D9">
        <w:t>Figure 1</w:t>
      </w:r>
      <w:r w:rsidR="003738D9">
        <w:fldChar w:fldCharType="end"/>
      </w:r>
      <w:r w:rsidR="003738D9">
        <w:t xml:space="preserve">. </w:t>
      </w:r>
    </w:p>
    <w:p w14:paraId="18755543" w14:textId="2D3D6299" w:rsidR="003738D9" w:rsidRPr="00121876" w:rsidRDefault="00AC294E" w:rsidP="003738D9">
      <w:r>
        <w:rPr>
          <w:noProof/>
        </w:rPr>
        <w:lastRenderedPageBreak/>
        <w:drawing>
          <wp:inline distT="0" distB="0" distL="0" distR="0" wp14:anchorId="68A0C1BB" wp14:editId="228CA27A">
            <wp:extent cx="5396400" cy="411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6400" cy="4114800"/>
                    </a:xfrm>
                    <a:prstGeom prst="rect">
                      <a:avLst/>
                    </a:prstGeom>
                    <a:noFill/>
                  </pic:spPr>
                </pic:pic>
              </a:graphicData>
            </a:graphic>
          </wp:inline>
        </w:drawing>
      </w:r>
    </w:p>
    <w:p w14:paraId="6854B631" w14:textId="4A3138AF" w:rsidR="003738D9" w:rsidRDefault="003738D9" w:rsidP="003738D9">
      <w:pPr>
        <w:pStyle w:val="Caption"/>
        <w:rPr>
          <w:rFonts w:ascii="Arial" w:hAnsi="Arial"/>
          <w:b w:val="0"/>
          <w:lang w:eastAsia="zh-CN"/>
        </w:rPr>
      </w:pPr>
      <w:r w:rsidRPr="00094A39">
        <w:rPr>
          <w:rFonts w:ascii="Arial" w:hAnsi="Arial" w:cs="Arial"/>
        </w:rPr>
        <w:t>Figure</w:t>
      </w:r>
      <w:r>
        <w:t xml:space="preserve"> </w:t>
      </w:r>
      <w:r w:rsidRPr="00094A39">
        <w:rPr>
          <w:rFonts w:ascii="Arial" w:hAnsi="Arial" w:cs="Arial"/>
        </w:rPr>
        <w:fldChar w:fldCharType="begin"/>
      </w:r>
      <w:r w:rsidRPr="00094A39">
        <w:rPr>
          <w:rFonts w:ascii="Arial" w:hAnsi="Arial" w:cs="Arial"/>
        </w:rPr>
        <w:instrText xml:space="preserve"> SEQ Figure \* ARABIC </w:instrText>
      </w:r>
      <w:r w:rsidRPr="00094A39">
        <w:rPr>
          <w:rFonts w:ascii="Arial" w:hAnsi="Arial" w:cs="Arial"/>
        </w:rPr>
        <w:fldChar w:fldCharType="separate"/>
      </w:r>
      <w:r w:rsidRPr="00094A39">
        <w:rPr>
          <w:rFonts w:ascii="Arial" w:hAnsi="Arial" w:cs="Arial"/>
        </w:rPr>
        <w:t>1</w:t>
      </w:r>
      <w:r w:rsidRPr="00094A39">
        <w:rPr>
          <w:rFonts w:ascii="Arial" w:hAnsi="Arial" w:cs="Arial"/>
        </w:rPr>
        <w:fldChar w:fldCharType="end"/>
      </w:r>
      <w:r w:rsidR="00FA0BCD">
        <w:rPr>
          <w:noProof/>
        </w:rPr>
        <w:t>.</w:t>
      </w:r>
      <w:r>
        <w:rPr>
          <w:noProof/>
        </w:rPr>
        <w:t xml:space="preserve"> </w:t>
      </w:r>
      <w:r w:rsidRPr="00094A39">
        <w:rPr>
          <w:rFonts w:ascii="Arial" w:hAnsi="Arial"/>
          <w:b w:val="0"/>
          <w:lang w:eastAsia="zh-CN"/>
        </w:rPr>
        <w:t>Selection of SDT resources based on DVT and RSRP</w:t>
      </w:r>
    </w:p>
    <w:p w14:paraId="5D585E73" w14:textId="52326559" w:rsidR="008D0F4C" w:rsidRPr="008D0F4C" w:rsidRDefault="008D0F4C" w:rsidP="00D73FAF">
      <w:pPr>
        <w:pStyle w:val="BodyText"/>
      </w:pPr>
      <w:r>
        <w:t>However, even if the overall procedure is agreed, there are several aspects still open concerning operation during an ongoing SDT procedure.</w:t>
      </w:r>
    </w:p>
    <w:p w14:paraId="655D0617" w14:textId="7D8E5A9A" w:rsidR="00302915" w:rsidRDefault="00302915" w:rsidP="00302915">
      <w:pPr>
        <w:pStyle w:val="Heading2"/>
      </w:pPr>
      <w:r>
        <w:t>2.2</w:t>
      </w:r>
      <w:r>
        <w:tab/>
        <w:t>SUL aspects</w:t>
      </w:r>
    </w:p>
    <w:p w14:paraId="332C5CF2" w14:textId="5C8DAFEC" w:rsidR="003738D9" w:rsidRDefault="004027A8" w:rsidP="00094A39">
      <w:pPr>
        <w:pStyle w:val="BodyText"/>
      </w:pPr>
      <w:r>
        <w:t xml:space="preserve">One </w:t>
      </w:r>
      <w:r w:rsidR="003738D9">
        <w:t xml:space="preserve">aspect that we think needs more </w:t>
      </w:r>
      <w:r w:rsidR="007C1503">
        <w:t>discussion</w:t>
      </w:r>
      <w:r w:rsidR="003738D9">
        <w:t xml:space="preserve"> is the </w:t>
      </w:r>
      <w:r w:rsidR="008D0F4C">
        <w:t>operation of SDT using</w:t>
      </w:r>
      <w:r w:rsidR="003738D9">
        <w:t xml:space="preserve"> SUL or NUL carrier, especially in the light of the possibility to configure CG</w:t>
      </w:r>
      <w:r w:rsidR="00D35752">
        <w:t>-SDT</w:t>
      </w:r>
      <w:r w:rsidR="003738D9">
        <w:t xml:space="preserve"> on both carriers. Since CG-SDT is targeting stationary UEs we do not see any reason for toggling between SUL and NUL during an ongoing CG-SDT procedure once the carrier has been selected. This will follow legacy procedure in the </w:t>
      </w:r>
      <w:proofErr w:type="gramStart"/>
      <w:r w:rsidR="00A7106A">
        <w:t xml:space="preserve">Random </w:t>
      </w:r>
      <w:r w:rsidR="003738D9">
        <w:t>access</w:t>
      </w:r>
      <w:proofErr w:type="gramEnd"/>
      <w:r w:rsidR="003738D9">
        <w:t xml:space="preserve"> procedure and is advantageous for avoiding complicated scenarios where the UE </w:t>
      </w:r>
      <w:r w:rsidR="00E35ECE">
        <w:t xml:space="preserve">jumps </w:t>
      </w:r>
      <w:r w:rsidR="003738D9">
        <w:t>between the NUL and SUL</w:t>
      </w:r>
      <w:r w:rsidR="00E35ECE">
        <w:t xml:space="preserve"> for different t</w:t>
      </w:r>
      <w:r w:rsidR="00E41A64">
        <w:t>ransmissions</w:t>
      </w:r>
      <w:r w:rsidR="003738D9">
        <w:t xml:space="preserve"> and</w:t>
      </w:r>
      <w:r w:rsidR="00E41A64">
        <w:t xml:space="preserve"> the</w:t>
      </w:r>
      <w:r w:rsidR="003738D9">
        <w:t xml:space="preserve"> </w:t>
      </w:r>
      <w:proofErr w:type="spellStart"/>
      <w:r w:rsidR="003738D9">
        <w:t>gNB</w:t>
      </w:r>
      <w:proofErr w:type="spellEnd"/>
      <w:r w:rsidR="00E41A64">
        <w:t xml:space="preserve"> consequently</w:t>
      </w:r>
      <w:r w:rsidR="003738D9">
        <w:t xml:space="preserve"> needs to monitor for CG transmissions on both carriers. </w:t>
      </w:r>
      <w:proofErr w:type="gramStart"/>
      <w:r w:rsidR="003738D9">
        <w:t>Instead</w:t>
      </w:r>
      <w:proofErr w:type="gramEnd"/>
      <w:r w:rsidR="003738D9">
        <w:t xml:space="preserve"> we believe that once the carrier has been selected, the SDT procedure should be carried out on that carrier until the UE receives the RRC Release (or RRC Resume</w:t>
      </w:r>
      <w:r w:rsidR="005E0AF8">
        <w:t>/Setup/Reject</w:t>
      </w:r>
      <w:r w:rsidR="003738D9">
        <w:t>) ending the procedure.</w:t>
      </w:r>
      <w:r w:rsidR="00AC2F8E">
        <w:t xml:space="preserve"> </w:t>
      </w:r>
      <w:r w:rsidR="0058229C">
        <w:t xml:space="preserve">If this is </w:t>
      </w:r>
      <w:r w:rsidR="008D0F4C">
        <w:t>agreed</w:t>
      </w:r>
      <w:r w:rsidR="0058229C">
        <w:t xml:space="preserve">, then there is no point to keep the CG configuration on the </w:t>
      </w:r>
      <w:r w:rsidR="006A38CD">
        <w:t xml:space="preserve">carrier </w:t>
      </w:r>
      <w:r w:rsidR="0058229C">
        <w:t xml:space="preserve">not selected </w:t>
      </w:r>
      <w:r w:rsidR="00A83CCE">
        <w:t>since it will not be used during the SDT procedure. We give the following proposals</w:t>
      </w:r>
    </w:p>
    <w:p w14:paraId="47F68974" w14:textId="260AF8D2" w:rsidR="0002440E" w:rsidRDefault="0002440E" w:rsidP="0002440E">
      <w:pPr>
        <w:pStyle w:val="Proposal"/>
      </w:pPr>
      <w:bookmarkStart w:id="1" w:name="_Toc67593944"/>
      <w:bookmarkStart w:id="2" w:name="_Toc79046962"/>
      <w:r>
        <w:t>Once the SUL or NUL has been selected, the SDT procedure is carried out on the selected carrier.</w:t>
      </w:r>
      <w:bookmarkEnd w:id="1"/>
      <w:bookmarkEnd w:id="2"/>
    </w:p>
    <w:p w14:paraId="0DF85886" w14:textId="4CC6D63A" w:rsidR="00A83CCE" w:rsidRDefault="00A83CCE" w:rsidP="003738D9">
      <w:pPr>
        <w:pStyle w:val="Proposal"/>
      </w:pPr>
      <w:bookmarkStart w:id="3" w:name="_Toc79046963"/>
      <w:r>
        <w:lastRenderedPageBreak/>
        <w:t xml:space="preserve">The CG configuration on the </w:t>
      </w:r>
      <w:r w:rsidRPr="00083EAD">
        <w:rPr>
          <w:i/>
          <w:iCs/>
        </w:rPr>
        <w:t>not</w:t>
      </w:r>
      <w:r>
        <w:t xml:space="preserve"> selected carrier is released</w:t>
      </w:r>
      <w:bookmarkEnd w:id="3"/>
    </w:p>
    <w:p w14:paraId="191F079F" w14:textId="5598355A" w:rsidR="00EB7770" w:rsidRDefault="003738D9" w:rsidP="00094A39">
      <w:pPr>
        <w:pStyle w:val="BodyText"/>
      </w:pPr>
      <w:r w:rsidRPr="006D13FF">
        <w:t xml:space="preserve">Even </w:t>
      </w:r>
      <w:r>
        <w:t xml:space="preserve">if the carrier is selected before selecting between CG and RA based SDT procedure, there is also a NUL/SUL selection in the RA procedure which is also based on the RSRP level. There could be situations where different RSRP thresholds would be configured, </w:t>
      </w:r>
      <w:proofErr w:type="gramStart"/>
      <w:r>
        <w:t>e.g.</w:t>
      </w:r>
      <w:proofErr w:type="gramEnd"/>
      <w:r>
        <w:t xml:space="preserve"> in case that CG-SDT would have different requirements for sufficient performance </w:t>
      </w:r>
      <w:r w:rsidR="004231CD">
        <w:t>compared to those of</w:t>
      </w:r>
      <w:r>
        <w:t xml:space="preserve"> RA-SDT. In this case it could happen that the UE first selects </w:t>
      </w:r>
      <w:proofErr w:type="gramStart"/>
      <w:r>
        <w:t>e.g.</w:t>
      </w:r>
      <w:proofErr w:type="gramEnd"/>
      <w:r>
        <w:t xml:space="preserve"> SUL but then either has no CG configuration on this carrier or fails to have a valid TA and at the following NUL/SUL selection in the RA procedure, the UE re-selects to the other carrier. This could be avoided by configuring the same RSRP </w:t>
      </w:r>
      <w:r w:rsidR="00035C7A">
        <w:t>threshold,</w:t>
      </w:r>
      <w:r>
        <w:t xml:space="preserve"> but another option is to skip the SUL/NUL selection in the RA procedure, thereby ensuring that once the carrier is selected, it remains on the selected carrier.</w:t>
      </w:r>
    </w:p>
    <w:p w14:paraId="2CFF8AD9" w14:textId="399AEB6D" w:rsidR="003738D9" w:rsidRDefault="003738D9" w:rsidP="003738D9">
      <w:pPr>
        <w:pStyle w:val="Proposal"/>
      </w:pPr>
      <w:bookmarkStart w:id="4" w:name="_Toc67593945"/>
      <w:bookmarkStart w:id="5" w:name="_Toc79046964"/>
      <w:r>
        <w:t xml:space="preserve">Once the SUL or NUL has been selected in the SDT procedure, it is not re-evaluated in the </w:t>
      </w:r>
      <w:proofErr w:type="gramStart"/>
      <w:r w:rsidR="00A7106A">
        <w:t xml:space="preserve">Random </w:t>
      </w:r>
      <w:r>
        <w:t>access</w:t>
      </w:r>
      <w:proofErr w:type="gramEnd"/>
      <w:r>
        <w:t xml:space="preserve"> procedure.</w:t>
      </w:r>
      <w:bookmarkEnd w:id="4"/>
      <w:bookmarkEnd w:id="5"/>
    </w:p>
    <w:p w14:paraId="73C54B79" w14:textId="4720368F" w:rsidR="004E404A" w:rsidRDefault="006D6FFF" w:rsidP="009831AA">
      <w:pPr>
        <w:pStyle w:val="Heading2"/>
      </w:pPr>
      <w:r>
        <w:t>2.</w:t>
      </w:r>
      <w:r w:rsidR="00302915">
        <w:t xml:space="preserve">3 </w:t>
      </w:r>
      <w:r w:rsidR="007D2E03">
        <w:t xml:space="preserve">BSR triggering </w:t>
      </w:r>
    </w:p>
    <w:p w14:paraId="075D40B2" w14:textId="2C0212B1" w:rsidR="008203F5" w:rsidRDefault="008203F5" w:rsidP="008203F5">
      <w:pPr>
        <w:rPr>
          <w:lang w:val="en-US" w:eastAsia="ko-KR"/>
        </w:rPr>
      </w:pPr>
      <w:r w:rsidRPr="00CF75BD">
        <w:rPr>
          <w:rFonts w:ascii="Arial" w:hAnsi="Arial" w:cs="Arial"/>
          <w:lang w:eastAsia="ko-KR"/>
        </w:rPr>
        <w:t xml:space="preserve">Subsequent transmissions of data configured for SDT can be expected to be a common feature for both RA-SDT and CG-SDT. This may be </w:t>
      </w:r>
      <w:r>
        <w:rPr>
          <w:rFonts w:ascii="Arial" w:hAnsi="Arial" w:cs="Arial"/>
          <w:noProof/>
          <w:lang w:eastAsia="ko-KR"/>
        </w:rPr>
        <w:t xml:space="preserve">beneficial </w:t>
      </w:r>
      <w:r w:rsidRPr="00CF75BD">
        <w:rPr>
          <w:rFonts w:ascii="Arial" w:hAnsi="Arial" w:cs="Arial"/>
          <w:lang w:eastAsia="ko-KR"/>
        </w:rPr>
        <w:t>either if the data volume is larger than what fits in the Msg3/</w:t>
      </w:r>
      <w:proofErr w:type="spellStart"/>
      <w:r w:rsidRPr="00CF75BD">
        <w:rPr>
          <w:rFonts w:ascii="Arial" w:hAnsi="Arial" w:cs="Arial"/>
          <w:lang w:eastAsia="ko-KR"/>
        </w:rPr>
        <w:t>MsgA</w:t>
      </w:r>
      <w:proofErr w:type="spellEnd"/>
      <w:r w:rsidRPr="00CF75BD">
        <w:rPr>
          <w:rFonts w:ascii="Arial" w:hAnsi="Arial" w:cs="Arial"/>
          <w:lang w:eastAsia="ko-KR"/>
        </w:rPr>
        <w:t xml:space="preserve"> grant or in the CG resource, or if more data is received in the UE buffer during an ongoing SDT procedure. We believe that legacy procedure where </w:t>
      </w:r>
      <w:proofErr w:type="spellStart"/>
      <w:r w:rsidRPr="00CF75BD">
        <w:rPr>
          <w:rFonts w:ascii="Arial" w:hAnsi="Arial" w:cs="Arial"/>
          <w:lang w:eastAsia="ko-KR"/>
        </w:rPr>
        <w:t>gNB</w:t>
      </w:r>
      <w:proofErr w:type="spellEnd"/>
      <w:r w:rsidRPr="00CF75BD">
        <w:rPr>
          <w:rFonts w:ascii="Arial" w:hAnsi="Arial" w:cs="Arial"/>
          <w:lang w:eastAsia="ko-KR"/>
        </w:rPr>
        <w:t xml:space="preserve"> sends a DCI to C-RNTI with a new grant upon receiving a BSR (or no padding bits) is sufficient to handle subsequent data. For the RA-SDT, this implies that subsequent transmissions are done after contention resolution which then is carried out without sending the </w:t>
      </w:r>
      <w:proofErr w:type="spellStart"/>
      <w:r w:rsidRPr="00CF75BD">
        <w:rPr>
          <w:rFonts w:ascii="Arial" w:hAnsi="Arial" w:cs="Arial"/>
          <w:i/>
          <w:lang w:eastAsia="ko-KR"/>
        </w:rPr>
        <w:t>RRCRelease</w:t>
      </w:r>
      <w:proofErr w:type="spellEnd"/>
      <w:r w:rsidRPr="00CF75BD">
        <w:rPr>
          <w:rFonts w:ascii="Arial" w:hAnsi="Arial" w:cs="Arial"/>
          <w:lang w:eastAsia="ko-KR"/>
        </w:rPr>
        <w:t xml:space="preserve"> message in Msg4/</w:t>
      </w:r>
      <w:proofErr w:type="spellStart"/>
      <w:r w:rsidRPr="00CF75BD">
        <w:rPr>
          <w:rFonts w:ascii="Arial" w:hAnsi="Arial" w:cs="Arial"/>
          <w:lang w:eastAsia="ko-KR"/>
        </w:rPr>
        <w:t>MsgB</w:t>
      </w:r>
      <w:proofErr w:type="spellEnd"/>
      <w:r w:rsidRPr="00CF75BD">
        <w:rPr>
          <w:rFonts w:ascii="Arial" w:hAnsi="Arial" w:cs="Arial"/>
          <w:lang w:eastAsia="ko-KR"/>
        </w:rPr>
        <w:t xml:space="preserve">. The procedures for RA-SDT are illustrated in </w:t>
      </w:r>
      <w:r w:rsidRPr="00CF75BD">
        <w:rPr>
          <w:rFonts w:ascii="Arial" w:hAnsi="Arial" w:cs="Arial"/>
          <w:lang w:eastAsia="ko-KR"/>
        </w:rPr>
        <w:fldChar w:fldCharType="begin"/>
      </w:r>
      <w:r w:rsidRPr="00CF75BD">
        <w:rPr>
          <w:rFonts w:ascii="Arial" w:hAnsi="Arial" w:cs="Arial"/>
          <w:lang w:eastAsia="ko-KR"/>
        </w:rPr>
        <w:instrText xml:space="preserve"> REF _Ref67641659 \h </w:instrText>
      </w:r>
      <w:r>
        <w:rPr>
          <w:rFonts w:ascii="Arial" w:hAnsi="Arial" w:cs="Arial"/>
          <w:noProof/>
          <w:lang w:eastAsia="ko-KR"/>
        </w:rPr>
        <w:instrText xml:space="preserve"> \* MERGEFORMAT </w:instrText>
      </w:r>
      <w:r w:rsidRPr="00CF75BD">
        <w:rPr>
          <w:rFonts w:ascii="Arial" w:hAnsi="Arial" w:cs="Arial"/>
          <w:lang w:eastAsia="ko-KR"/>
        </w:rPr>
      </w:r>
      <w:r w:rsidRPr="00CF75BD">
        <w:rPr>
          <w:rFonts w:ascii="Arial" w:hAnsi="Arial" w:cs="Arial"/>
          <w:lang w:eastAsia="ko-KR"/>
        </w:rPr>
        <w:fldChar w:fldCharType="separate"/>
      </w:r>
      <w:r w:rsidR="00D17438" w:rsidRPr="00D17438">
        <w:rPr>
          <w:rFonts w:ascii="Arial" w:hAnsi="Arial" w:cs="Arial"/>
          <w:lang w:eastAsia="ko-KR"/>
        </w:rPr>
        <w:t xml:space="preserve">Figure </w:t>
      </w:r>
      <w:r w:rsidR="00D17438">
        <w:rPr>
          <w:rFonts w:ascii="Arial" w:hAnsi="Arial" w:cs="Arial"/>
          <w:lang w:eastAsia="ko-KR"/>
        </w:rPr>
        <w:t>2</w:t>
      </w:r>
      <w:r w:rsidRPr="00CF75BD">
        <w:rPr>
          <w:rFonts w:ascii="Arial" w:hAnsi="Arial" w:cs="Arial"/>
          <w:lang w:eastAsia="ko-KR"/>
        </w:rPr>
        <w:fldChar w:fldCharType="end"/>
      </w:r>
      <w:r w:rsidRPr="00CF75BD">
        <w:rPr>
          <w:rFonts w:ascii="Arial" w:hAnsi="Arial" w:cs="Arial"/>
          <w:lang w:eastAsia="ko-KR"/>
        </w:rPr>
        <w:t xml:space="preserve"> and for CG-SDT in </w:t>
      </w:r>
      <w:r w:rsidRPr="00CF75BD">
        <w:rPr>
          <w:rFonts w:ascii="Arial" w:hAnsi="Arial" w:cs="Arial"/>
          <w:lang w:eastAsia="ko-KR"/>
        </w:rPr>
        <w:fldChar w:fldCharType="begin"/>
      </w:r>
      <w:r w:rsidRPr="00CF75BD">
        <w:rPr>
          <w:rFonts w:ascii="Arial" w:hAnsi="Arial" w:cs="Arial"/>
          <w:lang w:eastAsia="ko-KR"/>
        </w:rPr>
        <w:instrText xml:space="preserve"> REF _Ref67913739 \h </w:instrText>
      </w:r>
      <w:r>
        <w:rPr>
          <w:rFonts w:ascii="Arial" w:hAnsi="Arial" w:cs="Arial"/>
          <w:noProof/>
          <w:lang w:eastAsia="ko-KR"/>
        </w:rPr>
        <w:instrText xml:space="preserve"> \* MERGEFORMAT </w:instrText>
      </w:r>
      <w:r w:rsidRPr="00CF75BD">
        <w:rPr>
          <w:rFonts w:ascii="Arial" w:hAnsi="Arial" w:cs="Arial"/>
          <w:lang w:eastAsia="ko-KR"/>
        </w:rPr>
      </w:r>
      <w:r w:rsidRPr="00CF75BD">
        <w:rPr>
          <w:rFonts w:ascii="Arial" w:hAnsi="Arial" w:cs="Arial"/>
          <w:lang w:eastAsia="ko-KR"/>
        </w:rPr>
        <w:fldChar w:fldCharType="separate"/>
      </w:r>
      <w:r w:rsidR="00D17438" w:rsidRPr="00D17438">
        <w:rPr>
          <w:rFonts w:ascii="Arial" w:hAnsi="Arial" w:cs="Arial"/>
          <w:lang w:eastAsia="ko-KR"/>
        </w:rPr>
        <w:t xml:space="preserve">Figure </w:t>
      </w:r>
      <w:r w:rsidR="00D17438">
        <w:rPr>
          <w:rFonts w:ascii="Arial" w:hAnsi="Arial" w:cs="Arial"/>
          <w:lang w:eastAsia="ko-KR"/>
        </w:rPr>
        <w:t>3</w:t>
      </w:r>
      <w:r w:rsidRPr="00CF75BD">
        <w:rPr>
          <w:rFonts w:ascii="Arial" w:hAnsi="Arial" w:cs="Arial"/>
          <w:lang w:eastAsia="ko-KR"/>
        </w:rPr>
        <w:fldChar w:fldCharType="end"/>
      </w:r>
      <w:r>
        <w:rPr>
          <w:lang w:val="en-US" w:eastAsia="ko-KR"/>
        </w:rPr>
        <w:t>.</w:t>
      </w:r>
    </w:p>
    <w:p w14:paraId="5828D342" w14:textId="77777777" w:rsidR="008D0F4C" w:rsidRDefault="008D0F4C" w:rsidP="008203F5">
      <w:pPr>
        <w:rPr>
          <w:lang w:val="en-US" w:eastAsia="ko-KR"/>
        </w:rPr>
      </w:pPr>
    </w:p>
    <w:p w14:paraId="340E349C" w14:textId="7AC4E13A" w:rsidR="008203F5" w:rsidRPr="00A6558D" w:rsidRDefault="008203F5" w:rsidP="008203F5">
      <w:pPr>
        <w:pStyle w:val="Proposal"/>
        <w:tabs>
          <w:tab w:val="clear" w:pos="1304"/>
        </w:tabs>
        <w:ind w:left="1701" w:hanging="1701"/>
        <w:rPr>
          <w:bCs w:val="0"/>
          <w:lang w:eastAsia="sv-SE"/>
        </w:rPr>
      </w:pPr>
      <w:bookmarkStart w:id="6" w:name="_Toc68177748"/>
      <w:bookmarkStart w:id="7" w:name="_Toc79046965"/>
      <w:r>
        <w:t>As a baseline, BSR reporting to trigger a DCI to C-RNTI for new grant is the baseline for subsequent transmissions in SDT</w:t>
      </w:r>
      <w:r>
        <w:rPr>
          <w:iCs/>
          <w:noProof/>
          <w:lang w:eastAsia="ko-KR"/>
        </w:rPr>
        <w:t>.</w:t>
      </w:r>
      <w:bookmarkEnd w:id="6"/>
      <w:bookmarkEnd w:id="7"/>
    </w:p>
    <w:p w14:paraId="1A8F58CD" w14:textId="77777777" w:rsidR="00A52CDF" w:rsidRPr="00A6558D" w:rsidRDefault="00A52CDF" w:rsidP="00A6558D">
      <w:pPr>
        <w:pStyle w:val="Proposal"/>
        <w:numPr>
          <w:ilvl w:val="0"/>
          <w:numId w:val="0"/>
        </w:numPr>
        <w:rPr>
          <w:bCs w:val="0"/>
          <w:lang w:eastAsia="sv-SE"/>
        </w:rPr>
      </w:pPr>
    </w:p>
    <w:p w14:paraId="084E7EED" w14:textId="77777777" w:rsidR="00A52CDF" w:rsidRPr="00D73FAF" w:rsidRDefault="00A52CDF" w:rsidP="00A52CDF">
      <w:pPr>
        <w:rPr>
          <w:lang w:eastAsia="en-US"/>
        </w:rPr>
      </w:pPr>
      <w:r w:rsidRPr="00D73FAF">
        <w:rPr>
          <w:noProof/>
        </w:rPr>
        <w:lastRenderedPageBreak/>
        <w:drawing>
          <wp:inline distT="0" distB="0" distL="0" distR="0" wp14:anchorId="049989ED" wp14:editId="114D074B">
            <wp:extent cx="2408400" cy="507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8400" cy="5076000"/>
                    </a:xfrm>
                    <a:prstGeom prst="rect">
                      <a:avLst/>
                    </a:prstGeom>
                    <a:noFill/>
                    <a:ln>
                      <a:noFill/>
                    </a:ln>
                  </pic:spPr>
                </pic:pic>
              </a:graphicData>
            </a:graphic>
          </wp:inline>
        </w:drawing>
      </w:r>
      <w:r w:rsidRPr="00D73FAF">
        <w:rPr>
          <w:noProof/>
        </w:rPr>
        <w:drawing>
          <wp:inline distT="0" distB="0" distL="0" distR="0" wp14:anchorId="531D7294" wp14:editId="2BC189A8">
            <wp:extent cx="2476800" cy="48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800" cy="4824000"/>
                    </a:xfrm>
                    <a:prstGeom prst="rect">
                      <a:avLst/>
                    </a:prstGeom>
                    <a:noFill/>
                    <a:ln>
                      <a:noFill/>
                    </a:ln>
                  </pic:spPr>
                </pic:pic>
              </a:graphicData>
            </a:graphic>
          </wp:inline>
        </w:drawing>
      </w:r>
    </w:p>
    <w:p w14:paraId="46680464" w14:textId="12302639" w:rsidR="00A52CDF" w:rsidRPr="00D73FAF" w:rsidRDefault="00A52CDF" w:rsidP="00A52CDF">
      <w:pPr>
        <w:pStyle w:val="Caption"/>
        <w:rPr>
          <w:rFonts w:ascii="Arial" w:hAnsi="Arial" w:cs="Arial"/>
          <w:lang w:eastAsia="ko-KR"/>
        </w:rPr>
      </w:pPr>
      <w:bookmarkStart w:id="8" w:name="_Ref67641659"/>
      <w:r w:rsidRPr="00D73FAF">
        <w:rPr>
          <w:rFonts w:ascii="Arial" w:hAnsi="Arial" w:cs="Arial"/>
          <w:lang w:eastAsia="ko-KR"/>
        </w:rPr>
        <w:t xml:space="preserve">Figure </w:t>
      </w:r>
      <w:r w:rsidRPr="00D73FAF">
        <w:rPr>
          <w:rFonts w:ascii="Arial" w:hAnsi="Arial" w:cs="Arial"/>
          <w:lang w:eastAsia="ko-KR"/>
        </w:rPr>
        <w:fldChar w:fldCharType="begin"/>
      </w:r>
      <w:r w:rsidRPr="00D73FAF">
        <w:rPr>
          <w:rFonts w:ascii="Arial" w:hAnsi="Arial" w:cs="Arial"/>
          <w:lang w:eastAsia="ko-KR"/>
        </w:rPr>
        <w:instrText xml:space="preserve"> SEQ Figure \* ARABIC </w:instrText>
      </w:r>
      <w:r w:rsidRPr="00D73FAF">
        <w:rPr>
          <w:rFonts w:ascii="Arial" w:hAnsi="Arial" w:cs="Arial"/>
          <w:lang w:eastAsia="ko-KR"/>
        </w:rPr>
        <w:fldChar w:fldCharType="separate"/>
      </w:r>
      <w:r w:rsidR="00D17438">
        <w:rPr>
          <w:rFonts w:ascii="Arial" w:hAnsi="Arial" w:cs="Arial"/>
          <w:noProof/>
          <w:lang w:eastAsia="ko-KR"/>
        </w:rPr>
        <w:t>2</w:t>
      </w:r>
      <w:r w:rsidRPr="00D73FAF">
        <w:rPr>
          <w:rFonts w:ascii="Arial" w:hAnsi="Arial" w:cs="Arial"/>
          <w:lang w:eastAsia="ko-KR"/>
        </w:rPr>
        <w:fldChar w:fldCharType="end"/>
      </w:r>
      <w:bookmarkEnd w:id="8"/>
      <w:r w:rsidRPr="00D73FAF">
        <w:rPr>
          <w:rFonts w:ascii="Arial" w:hAnsi="Arial" w:cs="Arial"/>
          <w:lang w:eastAsia="ko-KR"/>
        </w:rPr>
        <w:t xml:space="preserve"> RA-SDT procedure for subsequent data.</w:t>
      </w:r>
    </w:p>
    <w:p w14:paraId="1F7D564F" w14:textId="77777777" w:rsidR="00A52CDF" w:rsidRPr="00D73FAF" w:rsidRDefault="00A52CDF" w:rsidP="00A52CDF">
      <w:pPr>
        <w:rPr>
          <w:lang w:eastAsia="en-GB"/>
        </w:rPr>
      </w:pPr>
      <w:r w:rsidRPr="00D73FAF">
        <w:rPr>
          <w:noProof/>
        </w:rPr>
        <w:lastRenderedPageBreak/>
        <w:drawing>
          <wp:inline distT="0" distB="0" distL="0" distR="0" wp14:anchorId="3ACACF78" wp14:editId="1185F57B">
            <wp:extent cx="1954800" cy="37044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4800" cy="3704400"/>
                    </a:xfrm>
                    <a:prstGeom prst="rect">
                      <a:avLst/>
                    </a:prstGeom>
                    <a:noFill/>
                    <a:ln>
                      <a:noFill/>
                    </a:ln>
                  </pic:spPr>
                </pic:pic>
              </a:graphicData>
            </a:graphic>
          </wp:inline>
        </w:drawing>
      </w:r>
    </w:p>
    <w:p w14:paraId="2664D058" w14:textId="1C33BBE0" w:rsidR="00A52CDF" w:rsidRPr="00B73533" w:rsidRDefault="00A52CDF" w:rsidP="00A52CDF">
      <w:pPr>
        <w:pStyle w:val="Caption"/>
      </w:pPr>
      <w:bookmarkStart w:id="9" w:name="_Ref67913739"/>
      <w:r w:rsidRPr="00D73FAF">
        <w:rPr>
          <w:rFonts w:ascii="Arial" w:hAnsi="Arial" w:cs="Arial"/>
          <w:lang w:eastAsia="ko-KR"/>
        </w:rPr>
        <w:t xml:space="preserve">Figure </w:t>
      </w:r>
      <w:r w:rsidRPr="00D73FAF">
        <w:rPr>
          <w:rFonts w:ascii="Arial" w:hAnsi="Arial" w:cs="Arial"/>
          <w:lang w:eastAsia="ko-KR"/>
        </w:rPr>
        <w:fldChar w:fldCharType="begin"/>
      </w:r>
      <w:r w:rsidRPr="00D73FAF">
        <w:rPr>
          <w:rFonts w:ascii="Arial" w:hAnsi="Arial" w:cs="Arial"/>
          <w:lang w:eastAsia="ko-KR"/>
        </w:rPr>
        <w:instrText xml:space="preserve"> SEQ Figure \* ARABIC </w:instrText>
      </w:r>
      <w:r w:rsidRPr="00D73FAF">
        <w:rPr>
          <w:rFonts w:ascii="Arial" w:hAnsi="Arial" w:cs="Arial"/>
          <w:lang w:eastAsia="ko-KR"/>
        </w:rPr>
        <w:fldChar w:fldCharType="separate"/>
      </w:r>
      <w:r w:rsidR="00D17438">
        <w:rPr>
          <w:rFonts w:ascii="Arial" w:hAnsi="Arial" w:cs="Arial"/>
          <w:noProof/>
          <w:lang w:eastAsia="ko-KR"/>
        </w:rPr>
        <w:t>3</w:t>
      </w:r>
      <w:r w:rsidRPr="00D73FAF">
        <w:rPr>
          <w:rFonts w:ascii="Arial" w:hAnsi="Arial" w:cs="Arial"/>
          <w:lang w:eastAsia="ko-KR"/>
        </w:rPr>
        <w:fldChar w:fldCharType="end"/>
      </w:r>
      <w:bookmarkEnd w:id="9"/>
      <w:r w:rsidRPr="00D73FAF">
        <w:t xml:space="preserve"> </w:t>
      </w:r>
      <w:r w:rsidRPr="00D73FAF">
        <w:rPr>
          <w:rFonts w:ascii="Arial" w:hAnsi="Arial" w:cs="Arial"/>
          <w:lang w:eastAsia="ko-KR"/>
        </w:rPr>
        <w:t>CG-SDT procedure for subsequent data</w:t>
      </w:r>
      <w:r w:rsidRPr="00D73FAF">
        <w:t>.</w:t>
      </w:r>
    </w:p>
    <w:p w14:paraId="6E016880" w14:textId="77777777" w:rsidR="008D0F4C" w:rsidRPr="00070156" w:rsidRDefault="008D0F4C" w:rsidP="006F35E8">
      <w:pPr>
        <w:pStyle w:val="Proposal"/>
        <w:numPr>
          <w:ilvl w:val="0"/>
          <w:numId w:val="0"/>
        </w:numPr>
        <w:ind w:left="1701"/>
        <w:rPr>
          <w:bCs w:val="0"/>
          <w:lang w:eastAsia="sv-SE"/>
        </w:rPr>
      </w:pPr>
    </w:p>
    <w:p w14:paraId="15F7A79D" w14:textId="03B2947B" w:rsidR="003738D9" w:rsidRDefault="003738D9" w:rsidP="003738D9">
      <w:pPr>
        <w:pStyle w:val="BodyText"/>
        <w:rPr>
          <w:rFonts w:eastAsia="MS Mincho"/>
          <w:szCs w:val="24"/>
          <w:lang w:eastAsia="en-GB"/>
        </w:rPr>
      </w:pPr>
      <w:r>
        <w:t xml:space="preserve">From the agreements in RAN2#112e, </w:t>
      </w:r>
      <w:r>
        <w:rPr>
          <w:rFonts w:eastAsia="MS Mincho"/>
          <w:szCs w:val="24"/>
          <w:lang w:eastAsia="en-GB"/>
        </w:rPr>
        <w:t>t</w:t>
      </w:r>
      <w:r w:rsidRPr="00D82491">
        <w:rPr>
          <w:rFonts w:eastAsia="MS Mincho"/>
          <w:szCs w:val="24"/>
          <w:lang w:eastAsia="en-GB"/>
        </w:rPr>
        <w:t>he first UL message (</w:t>
      </w:r>
      <w:proofErr w:type="gramStart"/>
      <w:r w:rsidRPr="00D82491">
        <w:rPr>
          <w:rFonts w:eastAsia="MS Mincho"/>
          <w:szCs w:val="24"/>
          <w:lang w:eastAsia="en-GB"/>
        </w:rPr>
        <w:t>i.e.</w:t>
      </w:r>
      <w:proofErr w:type="gramEnd"/>
      <w:r w:rsidRPr="00D82491">
        <w:rPr>
          <w:rFonts w:eastAsia="MS Mincho"/>
          <w:szCs w:val="24"/>
          <w:lang w:eastAsia="en-GB"/>
        </w:rPr>
        <w:t xml:space="preserve"> MSG3 for 4-step RACH, MSGA payload for 2-step RACH and the CG transmission for CG) may contain a</w:t>
      </w:r>
      <w:r>
        <w:rPr>
          <w:rFonts w:eastAsia="MS Mincho"/>
          <w:szCs w:val="24"/>
          <w:lang w:eastAsia="en-GB"/>
        </w:rPr>
        <w:t xml:space="preserve"> BSR. This enables the UE to inform the </w:t>
      </w:r>
      <w:proofErr w:type="spellStart"/>
      <w:r>
        <w:rPr>
          <w:rFonts w:eastAsia="MS Mincho"/>
          <w:szCs w:val="24"/>
          <w:lang w:eastAsia="en-GB"/>
        </w:rPr>
        <w:t>gNB</w:t>
      </w:r>
      <w:proofErr w:type="spellEnd"/>
      <w:r>
        <w:rPr>
          <w:rFonts w:eastAsia="MS Mincho"/>
          <w:szCs w:val="24"/>
          <w:lang w:eastAsia="en-GB"/>
        </w:rPr>
        <w:t xml:space="preserve"> of the amount </w:t>
      </w:r>
      <w:r w:rsidR="00000049">
        <w:rPr>
          <w:rFonts w:eastAsia="MS Mincho"/>
          <w:szCs w:val="24"/>
          <w:lang w:eastAsia="en-GB"/>
        </w:rPr>
        <w:t>o</w:t>
      </w:r>
      <w:r>
        <w:rPr>
          <w:rFonts w:eastAsia="MS Mincho"/>
          <w:szCs w:val="24"/>
          <w:lang w:eastAsia="en-GB"/>
        </w:rPr>
        <w:t xml:space="preserve">f data remaining in the buffer after the first transmission and thereby be able to provide additional grant(s). According to legacy BSR triggering conditions, no new BSR is triggered for new data arriving to the same LCG unless the buffer becomes empty. However, in legacy the </w:t>
      </w:r>
      <w:proofErr w:type="spellStart"/>
      <w:r>
        <w:rPr>
          <w:rFonts w:eastAsia="MS Mincho"/>
          <w:szCs w:val="24"/>
          <w:lang w:eastAsia="en-GB"/>
        </w:rPr>
        <w:t>gNB</w:t>
      </w:r>
      <w:proofErr w:type="spellEnd"/>
      <w:r>
        <w:rPr>
          <w:rFonts w:eastAsia="MS Mincho"/>
          <w:szCs w:val="24"/>
          <w:lang w:eastAsia="en-GB"/>
        </w:rPr>
        <w:t xml:space="preserve"> can derive that data is still in the buffer by issuing a grant larger than data amount in the buffer indicated in the BSR by noticing that the TB is filled (no padding). This mechanism should be sufficient also for SDT. This is aligned with a </w:t>
      </w:r>
      <w:r w:rsidRPr="00EC548B">
        <w:rPr>
          <w:rFonts w:eastAsia="MS Mincho"/>
          <w:szCs w:val="24"/>
          <w:lang w:eastAsia="en-GB"/>
        </w:rPr>
        <w:t>proposal in the email discussion</w:t>
      </w:r>
      <w:r w:rsidR="005B62FF">
        <w:rPr>
          <w:rFonts w:eastAsia="MS Mincho"/>
          <w:szCs w:val="24"/>
          <w:lang w:eastAsia="en-GB"/>
        </w:rPr>
        <w:t xml:space="preserve"> </w:t>
      </w:r>
      <w:r w:rsidR="009114BA">
        <w:rPr>
          <w:rFonts w:eastAsia="MS Mincho"/>
          <w:szCs w:val="24"/>
          <w:lang w:eastAsia="en-GB"/>
        </w:rPr>
        <w:fldChar w:fldCharType="begin"/>
      </w:r>
      <w:r w:rsidR="009114BA">
        <w:rPr>
          <w:rFonts w:eastAsia="MS Mincho"/>
          <w:szCs w:val="24"/>
          <w:lang w:eastAsia="en-GB"/>
        </w:rPr>
        <w:instrText xml:space="preserve"> REF _Ref67905907 \r \h </w:instrText>
      </w:r>
      <w:r w:rsidR="009114BA">
        <w:rPr>
          <w:rFonts w:eastAsia="MS Mincho"/>
          <w:szCs w:val="24"/>
          <w:lang w:eastAsia="en-GB"/>
        </w:rPr>
      </w:r>
      <w:r w:rsidR="009114BA">
        <w:rPr>
          <w:rFonts w:eastAsia="MS Mincho"/>
          <w:szCs w:val="24"/>
          <w:lang w:eastAsia="en-GB"/>
        </w:rPr>
        <w:fldChar w:fldCharType="separate"/>
      </w:r>
      <w:r w:rsidR="009114BA">
        <w:rPr>
          <w:rFonts w:eastAsia="MS Mincho"/>
          <w:szCs w:val="24"/>
          <w:lang w:eastAsia="en-GB"/>
        </w:rPr>
        <w:t>[1]</w:t>
      </w:r>
      <w:r w:rsidR="009114BA">
        <w:rPr>
          <w:rFonts w:eastAsia="MS Mincho"/>
          <w:szCs w:val="24"/>
          <w:lang w:eastAsia="en-GB"/>
        </w:rPr>
        <w:fldChar w:fldCharType="end"/>
      </w:r>
      <w:r w:rsidR="005B62FF">
        <w:rPr>
          <w:rFonts w:eastAsia="MS Mincho"/>
          <w:szCs w:val="24"/>
          <w:lang w:eastAsia="en-GB"/>
        </w:rPr>
        <w:fldChar w:fldCharType="begin"/>
      </w:r>
      <w:r w:rsidR="005B62FF">
        <w:rPr>
          <w:rFonts w:eastAsia="MS Mincho"/>
          <w:szCs w:val="24"/>
          <w:lang w:eastAsia="en-GB"/>
        </w:rPr>
        <w:instrText xml:space="preserve"> REF _Ref67905907 \n \h </w:instrText>
      </w:r>
      <w:r w:rsidR="005B62FF">
        <w:rPr>
          <w:rFonts w:eastAsia="MS Mincho"/>
          <w:szCs w:val="24"/>
          <w:lang w:eastAsia="en-GB"/>
        </w:rPr>
      </w:r>
      <w:r w:rsidR="005B62FF">
        <w:rPr>
          <w:rFonts w:eastAsia="MS Mincho"/>
          <w:szCs w:val="24"/>
          <w:lang w:eastAsia="en-GB"/>
        </w:rPr>
        <w:fldChar w:fldCharType="end"/>
      </w:r>
      <w:r w:rsidRPr="00423863">
        <w:rPr>
          <w:rFonts w:eastAsia="MS Mincho"/>
          <w:szCs w:val="24"/>
          <w:lang w:eastAsia="en-GB"/>
        </w:rPr>
        <w:t>:</w:t>
      </w:r>
      <w:r>
        <w:t xml:space="preserve"> “</w:t>
      </w:r>
      <w:r w:rsidRPr="00575B27">
        <w:rPr>
          <w:rFonts w:eastAsia="MS Mincho"/>
          <w:szCs w:val="24"/>
          <w:lang w:eastAsia="en-GB"/>
        </w:rPr>
        <w:t xml:space="preserve">For SDT DRBs, if further data arrives during the SDT </w:t>
      </w:r>
      <w:r w:rsidR="009E543B">
        <w:rPr>
          <w:rFonts w:eastAsia="MS Mincho"/>
          <w:szCs w:val="24"/>
          <w:lang w:eastAsia="en-GB"/>
        </w:rPr>
        <w:t>procedure</w:t>
      </w:r>
      <w:r w:rsidRPr="00575B27">
        <w:rPr>
          <w:rFonts w:eastAsia="MS Mincho"/>
          <w:szCs w:val="24"/>
          <w:lang w:eastAsia="en-GB"/>
        </w:rPr>
        <w:t>, then BSR may be triggered according to existing triggering conditions (</w:t>
      </w:r>
      <w:proofErr w:type="gramStart"/>
      <w:r w:rsidRPr="00575B27">
        <w:rPr>
          <w:rFonts w:eastAsia="MS Mincho"/>
          <w:szCs w:val="24"/>
          <w:lang w:eastAsia="en-GB"/>
        </w:rPr>
        <w:t>i.e.</w:t>
      </w:r>
      <w:proofErr w:type="gramEnd"/>
      <w:r w:rsidRPr="00575B27">
        <w:rPr>
          <w:rFonts w:eastAsia="MS Mincho"/>
          <w:szCs w:val="24"/>
          <w:lang w:eastAsia="en-GB"/>
        </w:rPr>
        <w:t xml:space="preserve"> no new BSR triggers are necessary for this).</w:t>
      </w:r>
      <w:r>
        <w:rPr>
          <w:b/>
          <w:bCs/>
          <w:lang w:val="en-US"/>
        </w:rPr>
        <w:t xml:space="preserve">” </w:t>
      </w:r>
      <w:r w:rsidRPr="00575B27">
        <w:rPr>
          <w:rFonts w:eastAsia="MS Mincho"/>
          <w:szCs w:val="24"/>
          <w:lang w:eastAsia="en-GB"/>
        </w:rPr>
        <w:t xml:space="preserve">We </w:t>
      </w:r>
      <w:r>
        <w:rPr>
          <w:rFonts w:eastAsia="MS Mincho"/>
          <w:szCs w:val="24"/>
          <w:lang w:eastAsia="en-GB"/>
        </w:rPr>
        <w:t>think</w:t>
      </w:r>
      <w:r w:rsidRPr="00575B27">
        <w:rPr>
          <w:rFonts w:eastAsia="MS Mincho"/>
          <w:szCs w:val="24"/>
          <w:lang w:eastAsia="en-GB"/>
        </w:rPr>
        <w:t xml:space="preserve"> that if this proposal is agreed, this is sufficient for handling</w:t>
      </w:r>
      <w:r>
        <w:rPr>
          <w:rFonts w:eastAsia="MS Mincho"/>
          <w:szCs w:val="24"/>
          <w:lang w:eastAsia="en-GB"/>
        </w:rPr>
        <w:t xml:space="preserve"> of subsequent SDT data during an ongoing SDT procedure.</w:t>
      </w:r>
    </w:p>
    <w:p w14:paraId="0A5179D9" w14:textId="01F0471A" w:rsidR="003738D9" w:rsidRPr="00A04F49" w:rsidRDefault="003738D9" w:rsidP="003738D9">
      <w:pPr>
        <w:pStyle w:val="Proposal"/>
      </w:pPr>
      <w:bookmarkStart w:id="10" w:name="_Toc67908403"/>
      <w:bookmarkStart w:id="11" w:name="_Toc67908880"/>
      <w:bookmarkStart w:id="12" w:name="_Toc67987785"/>
      <w:bookmarkStart w:id="13" w:name="_Toc67593946"/>
      <w:bookmarkStart w:id="14" w:name="_Toc79046966"/>
      <w:bookmarkEnd w:id="10"/>
      <w:bookmarkEnd w:id="11"/>
      <w:bookmarkEnd w:id="12"/>
      <w:r>
        <w:t>Legacy BSR triggers are sufficient to handle arrival of new SDT data and transmission (multiplexing of BSR into the MAC PDU</w:t>
      </w:r>
      <w:r w:rsidR="001C62D2">
        <w:t>, when triggered</w:t>
      </w:r>
      <w:r>
        <w:t>)</w:t>
      </w:r>
      <w:r w:rsidRPr="00A04F49">
        <w:t>.</w:t>
      </w:r>
      <w:bookmarkEnd w:id="13"/>
      <w:bookmarkEnd w:id="14"/>
    </w:p>
    <w:p w14:paraId="72BC23DD" w14:textId="11D9F970" w:rsidR="003738D9" w:rsidRDefault="004875CF" w:rsidP="003B0638">
      <w:pPr>
        <w:pStyle w:val="BodyText"/>
        <w:rPr>
          <w:rFonts w:eastAsia="MS Mincho"/>
          <w:szCs w:val="24"/>
          <w:lang w:eastAsia="en-GB"/>
        </w:rPr>
      </w:pPr>
      <w:r>
        <w:rPr>
          <w:rFonts w:eastAsia="MS Mincho"/>
          <w:szCs w:val="24"/>
          <w:lang w:eastAsia="en-GB"/>
        </w:rPr>
        <w:t>Since SDT is a specific use case with</w:t>
      </w:r>
      <w:r w:rsidR="00180852">
        <w:rPr>
          <w:rFonts w:eastAsia="MS Mincho"/>
          <w:szCs w:val="24"/>
          <w:lang w:eastAsia="en-GB"/>
        </w:rPr>
        <w:t xml:space="preserve"> small data packets</w:t>
      </w:r>
      <w:r>
        <w:rPr>
          <w:rFonts w:eastAsia="MS Mincho"/>
          <w:szCs w:val="24"/>
          <w:lang w:eastAsia="en-GB"/>
        </w:rPr>
        <w:t xml:space="preserve"> </w:t>
      </w:r>
      <w:r w:rsidR="00180852">
        <w:rPr>
          <w:rFonts w:eastAsia="MS Mincho"/>
          <w:szCs w:val="24"/>
          <w:lang w:eastAsia="en-GB"/>
        </w:rPr>
        <w:t xml:space="preserve">and </w:t>
      </w:r>
      <w:proofErr w:type="gramStart"/>
      <w:r>
        <w:rPr>
          <w:rFonts w:eastAsia="MS Mincho"/>
          <w:szCs w:val="24"/>
          <w:lang w:eastAsia="en-GB"/>
        </w:rPr>
        <w:t>e.g.</w:t>
      </w:r>
      <w:proofErr w:type="gramEnd"/>
      <w:r>
        <w:rPr>
          <w:rFonts w:eastAsia="MS Mincho"/>
          <w:szCs w:val="24"/>
          <w:lang w:eastAsia="en-GB"/>
        </w:rPr>
        <w:t xml:space="preserve"> </w:t>
      </w:r>
      <w:r w:rsidR="004360C8">
        <w:rPr>
          <w:rFonts w:eastAsia="MS Mincho"/>
          <w:szCs w:val="24"/>
          <w:lang w:eastAsia="en-GB"/>
        </w:rPr>
        <w:t>only one or a few</w:t>
      </w:r>
      <w:r>
        <w:rPr>
          <w:rFonts w:eastAsia="MS Mincho"/>
          <w:szCs w:val="24"/>
          <w:lang w:eastAsia="en-GB"/>
        </w:rPr>
        <w:t xml:space="preserve"> DRBs configured</w:t>
      </w:r>
      <w:r w:rsidR="00180852">
        <w:rPr>
          <w:rFonts w:eastAsia="MS Mincho"/>
          <w:szCs w:val="24"/>
          <w:lang w:eastAsia="en-GB"/>
        </w:rPr>
        <w:t>, optimizations to reduce overhead</w:t>
      </w:r>
      <w:r w:rsidR="00EA4BB1">
        <w:rPr>
          <w:rFonts w:eastAsia="MS Mincho"/>
          <w:szCs w:val="24"/>
          <w:lang w:eastAsia="en-GB"/>
        </w:rPr>
        <w:t xml:space="preserve"> </w:t>
      </w:r>
      <w:r w:rsidR="002555E3">
        <w:rPr>
          <w:rFonts w:eastAsia="MS Mincho"/>
          <w:szCs w:val="24"/>
          <w:lang w:eastAsia="en-GB"/>
        </w:rPr>
        <w:t>c</w:t>
      </w:r>
      <w:r w:rsidR="00EA4BB1">
        <w:rPr>
          <w:rFonts w:eastAsia="MS Mincho"/>
          <w:szCs w:val="24"/>
          <w:lang w:eastAsia="en-GB"/>
        </w:rPr>
        <w:t>ould be considered</w:t>
      </w:r>
      <w:r w:rsidR="004360C8">
        <w:rPr>
          <w:rFonts w:eastAsia="MS Mincho"/>
          <w:szCs w:val="24"/>
          <w:lang w:eastAsia="en-GB"/>
        </w:rPr>
        <w:t>.</w:t>
      </w:r>
      <w:r w:rsidR="00EA4BB1">
        <w:rPr>
          <w:rFonts w:eastAsia="MS Mincho"/>
          <w:szCs w:val="24"/>
          <w:lang w:eastAsia="en-GB"/>
        </w:rPr>
        <w:t xml:space="preserve"> </w:t>
      </w:r>
      <w:r w:rsidR="003B0638" w:rsidRPr="00094A39">
        <w:rPr>
          <w:rFonts w:eastAsia="MS Mincho"/>
          <w:szCs w:val="24"/>
          <w:lang w:eastAsia="en-GB"/>
        </w:rPr>
        <w:t xml:space="preserve">Several improvements are possible. For example, if the amount of data left in the buffer could be transmitted with a new grant of the same size (or less than a threshold), no BSR would be needed. </w:t>
      </w:r>
      <w:r w:rsidR="00EA4BB1">
        <w:rPr>
          <w:rFonts w:eastAsia="MS Mincho"/>
          <w:szCs w:val="24"/>
          <w:lang w:eastAsia="en-GB"/>
        </w:rPr>
        <w:t>In other cases, t</w:t>
      </w:r>
      <w:r w:rsidR="003B0638" w:rsidRPr="00094A39">
        <w:rPr>
          <w:rFonts w:eastAsia="MS Mincho"/>
          <w:szCs w:val="24"/>
          <w:lang w:eastAsia="en-GB"/>
        </w:rPr>
        <w:t xml:space="preserve">he BSR could be limited to be a short BSR only reporting data from the LCG configured for SDT. In this case also more optimal formats could be introduced by removing the MAC </w:t>
      </w:r>
      <w:proofErr w:type="spellStart"/>
      <w:r w:rsidR="003B0638" w:rsidRPr="00094A39">
        <w:rPr>
          <w:rFonts w:eastAsia="MS Mincho"/>
          <w:szCs w:val="24"/>
          <w:lang w:eastAsia="en-GB"/>
        </w:rPr>
        <w:t>subheader</w:t>
      </w:r>
      <w:proofErr w:type="spellEnd"/>
      <w:r w:rsidR="003B0638" w:rsidRPr="00094A39">
        <w:rPr>
          <w:rFonts w:eastAsia="MS Mincho"/>
          <w:szCs w:val="24"/>
          <w:lang w:eastAsia="en-GB"/>
        </w:rPr>
        <w:t xml:space="preserve"> for the short BSR and using the R-bit in </w:t>
      </w:r>
      <w:proofErr w:type="gramStart"/>
      <w:r w:rsidR="003B0638" w:rsidRPr="00094A39">
        <w:rPr>
          <w:rFonts w:eastAsia="MS Mincho"/>
          <w:szCs w:val="24"/>
          <w:lang w:eastAsia="en-GB"/>
        </w:rPr>
        <w:t>e.g.</w:t>
      </w:r>
      <w:proofErr w:type="gramEnd"/>
      <w:r w:rsidR="003B0638" w:rsidRPr="00094A39">
        <w:rPr>
          <w:rFonts w:eastAsia="MS Mincho"/>
          <w:szCs w:val="24"/>
          <w:lang w:eastAsia="en-GB"/>
        </w:rPr>
        <w:t xml:space="preserve"> the R/F/LCID MAC </w:t>
      </w:r>
      <w:proofErr w:type="spellStart"/>
      <w:r w:rsidR="003B0638" w:rsidRPr="00094A39">
        <w:rPr>
          <w:rFonts w:eastAsia="MS Mincho"/>
          <w:szCs w:val="24"/>
          <w:lang w:eastAsia="en-GB"/>
        </w:rPr>
        <w:t>subheader</w:t>
      </w:r>
      <w:proofErr w:type="spellEnd"/>
      <w:r w:rsidR="003B0638" w:rsidRPr="00094A39">
        <w:rPr>
          <w:rFonts w:eastAsia="MS Mincho"/>
          <w:szCs w:val="24"/>
          <w:lang w:eastAsia="en-GB"/>
        </w:rPr>
        <w:t xml:space="preserve"> of the MAC </w:t>
      </w:r>
      <w:r w:rsidR="003B0638" w:rsidRPr="00094A39">
        <w:rPr>
          <w:rFonts w:eastAsia="MS Mincho"/>
          <w:szCs w:val="24"/>
          <w:lang w:eastAsia="en-GB"/>
        </w:rPr>
        <w:lastRenderedPageBreak/>
        <w:t>SDU to signal inclusion of a short BSR.</w:t>
      </w:r>
      <w:r w:rsidR="007016EE">
        <w:rPr>
          <w:rFonts w:eastAsia="MS Mincho"/>
          <w:szCs w:val="24"/>
          <w:lang w:eastAsia="en-GB"/>
        </w:rPr>
        <w:t xml:space="preserve"> </w:t>
      </w:r>
      <w:r w:rsidR="002555E3">
        <w:rPr>
          <w:rFonts w:eastAsia="MS Mincho"/>
          <w:szCs w:val="24"/>
          <w:lang w:eastAsia="en-GB"/>
        </w:rPr>
        <w:t>However, defining new BSR formats</w:t>
      </w:r>
      <w:r w:rsidR="001037F2">
        <w:rPr>
          <w:rFonts w:eastAsia="MS Mincho"/>
          <w:szCs w:val="24"/>
          <w:lang w:eastAsia="en-GB"/>
        </w:rPr>
        <w:t xml:space="preserve"> requires additional </w:t>
      </w:r>
      <w:proofErr w:type="gramStart"/>
      <w:r w:rsidR="001037F2">
        <w:rPr>
          <w:rFonts w:eastAsia="MS Mincho"/>
          <w:szCs w:val="24"/>
          <w:lang w:eastAsia="en-GB"/>
        </w:rPr>
        <w:t>work</w:t>
      </w:r>
      <w:proofErr w:type="gramEnd"/>
      <w:r w:rsidR="001037F2">
        <w:rPr>
          <w:rFonts w:eastAsia="MS Mincho"/>
          <w:szCs w:val="24"/>
          <w:lang w:eastAsia="en-GB"/>
        </w:rPr>
        <w:t xml:space="preserve"> and we therefore believe that these discuss</w:t>
      </w:r>
      <w:r w:rsidR="002151B6">
        <w:rPr>
          <w:rFonts w:eastAsia="MS Mincho"/>
          <w:szCs w:val="24"/>
          <w:lang w:eastAsia="en-GB"/>
        </w:rPr>
        <w:t>ions could be postponed to later releases.</w:t>
      </w:r>
      <w:r w:rsidR="003A70B3" w:rsidRPr="00A34116" w:rsidDel="003A70B3">
        <w:rPr>
          <w:rFonts w:eastAsia="MS Mincho"/>
          <w:szCs w:val="24"/>
          <w:lang w:eastAsia="en-GB"/>
        </w:rPr>
        <w:t xml:space="preserve"> </w:t>
      </w:r>
    </w:p>
    <w:p w14:paraId="14829234" w14:textId="7C7D17EF" w:rsidR="000A4542" w:rsidRDefault="002151B6" w:rsidP="000A4542">
      <w:pPr>
        <w:pStyle w:val="Proposal"/>
      </w:pPr>
      <w:bookmarkStart w:id="15" w:name="_Toc79046967"/>
      <w:r w:rsidRPr="003A70B3">
        <w:t>As a baseline</w:t>
      </w:r>
      <w:r w:rsidR="00094A39" w:rsidRPr="003A70B3">
        <w:t xml:space="preserve">, legacy </w:t>
      </w:r>
      <w:r w:rsidR="000A4542" w:rsidRPr="003A70B3">
        <w:t>BSR format</w:t>
      </w:r>
      <w:r w:rsidR="00094A39" w:rsidRPr="003A70B3">
        <w:t>s are used for SDT</w:t>
      </w:r>
      <w:r w:rsidR="004947C1" w:rsidRPr="003A70B3">
        <w:t>.</w:t>
      </w:r>
      <w:bookmarkEnd w:id="15"/>
    </w:p>
    <w:p w14:paraId="15734D5F" w14:textId="77777777" w:rsidR="008203F5" w:rsidRDefault="008203F5" w:rsidP="008203F5">
      <w:pPr>
        <w:rPr>
          <w:lang w:eastAsia="en-GB"/>
        </w:rPr>
      </w:pPr>
    </w:p>
    <w:p w14:paraId="488832B2" w14:textId="5223F301" w:rsidR="00E074D1" w:rsidRDefault="00E074D1" w:rsidP="00E074D1">
      <w:pPr>
        <w:pStyle w:val="Heading2"/>
      </w:pPr>
      <w:r>
        <w:t>2.</w:t>
      </w:r>
      <w:r w:rsidR="000B5DF2">
        <w:t xml:space="preserve">4 </w:t>
      </w:r>
      <w:r>
        <w:t xml:space="preserve">PHR triggering </w:t>
      </w:r>
    </w:p>
    <w:p w14:paraId="277D4F43" w14:textId="5A48F9E1" w:rsidR="003E4C28" w:rsidRDefault="00E074D1" w:rsidP="003E4C28">
      <w:pPr>
        <w:pStyle w:val="BodyText"/>
        <w:rPr>
          <w:rFonts w:eastAsia="MS Mincho"/>
          <w:szCs w:val="24"/>
          <w:lang w:eastAsia="en-GB"/>
        </w:rPr>
      </w:pPr>
      <w:r w:rsidRPr="00673624">
        <w:rPr>
          <w:rFonts w:eastAsia="MS Mincho"/>
          <w:szCs w:val="24"/>
          <w:lang w:eastAsia="en-GB"/>
        </w:rPr>
        <w:t>In</w:t>
      </w:r>
      <w:r>
        <w:rPr>
          <w:rFonts w:eastAsia="MS Mincho"/>
          <w:szCs w:val="24"/>
          <w:lang w:eastAsia="en-GB"/>
        </w:rPr>
        <w:t xml:space="preserve"> RAN2#113bis-e it was agreed that PHR is supported, but the exact procedure was left for further studies. In SDT, the use of PHR is limited to cases when there are subsequent transmissions or there is reason to believe that the </w:t>
      </w:r>
      <w:proofErr w:type="spellStart"/>
      <w:r>
        <w:rPr>
          <w:rFonts w:eastAsia="MS Mincho"/>
          <w:szCs w:val="24"/>
          <w:lang w:eastAsia="en-GB"/>
        </w:rPr>
        <w:t>gNB</w:t>
      </w:r>
      <w:proofErr w:type="spellEnd"/>
      <w:r>
        <w:rPr>
          <w:rFonts w:eastAsia="MS Mincho"/>
          <w:szCs w:val="24"/>
          <w:lang w:eastAsia="en-GB"/>
        </w:rPr>
        <w:t xml:space="preserve"> will send the UE to connected mode. Since execution of the SDT procedure may or may not lead to subsequent transmissions a PHR is not always needed. In case of RA-SDT, a useful rule could be that the PHR is included if not all data can be included in Msg3 or </w:t>
      </w:r>
      <w:proofErr w:type="spellStart"/>
      <w:r>
        <w:rPr>
          <w:rFonts w:eastAsia="MS Mincho"/>
          <w:szCs w:val="24"/>
          <w:lang w:eastAsia="en-GB"/>
        </w:rPr>
        <w:t>MsgA</w:t>
      </w:r>
      <w:proofErr w:type="spellEnd"/>
      <w:r>
        <w:rPr>
          <w:rFonts w:eastAsia="MS Mincho"/>
          <w:szCs w:val="24"/>
          <w:lang w:eastAsia="en-GB"/>
        </w:rPr>
        <w:t xml:space="preserve">. But even in this case, it may lead to cases where the PHR would be included although it is not needed, </w:t>
      </w:r>
      <w:proofErr w:type="gramStart"/>
      <w:r>
        <w:rPr>
          <w:rFonts w:eastAsia="MS Mincho"/>
          <w:szCs w:val="24"/>
          <w:lang w:eastAsia="en-GB"/>
        </w:rPr>
        <w:t>e.g.</w:t>
      </w:r>
      <w:proofErr w:type="gramEnd"/>
      <w:r>
        <w:rPr>
          <w:rFonts w:eastAsia="MS Mincho"/>
          <w:szCs w:val="24"/>
          <w:lang w:eastAsia="en-GB"/>
        </w:rPr>
        <w:t xml:space="preserve"> all remaining data will fit in a small subsequent transmission. </w:t>
      </w:r>
      <w:r w:rsidR="003E4C28">
        <w:rPr>
          <w:rFonts w:eastAsia="MS Mincho"/>
          <w:szCs w:val="24"/>
          <w:lang w:eastAsia="en-GB"/>
        </w:rPr>
        <w:t>We therefore believe that the best option is to configure a volume threshold so that the PHR is included if the data volume is above this threshold.</w:t>
      </w:r>
      <w:r w:rsidR="003D3F32">
        <w:rPr>
          <w:rFonts w:eastAsia="MS Mincho"/>
          <w:szCs w:val="24"/>
          <w:lang w:eastAsia="en-GB"/>
        </w:rPr>
        <w:t xml:space="preserve"> It would also be useful to </w:t>
      </w:r>
      <w:proofErr w:type="gramStart"/>
      <w:r w:rsidR="003D3F32">
        <w:rPr>
          <w:rFonts w:eastAsia="MS Mincho"/>
          <w:szCs w:val="24"/>
          <w:lang w:eastAsia="en-GB"/>
        </w:rPr>
        <w:t>have  rules</w:t>
      </w:r>
      <w:proofErr w:type="gramEnd"/>
      <w:r w:rsidR="003D3F32">
        <w:rPr>
          <w:rFonts w:eastAsia="MS Mincho"/>
          <w:szCs w:val="24"/>
          <w:lang w:eastAsia="en-GB"/>
        </w:rPr>
        <w:t xml:space="preserve"> for the case when no DVT for PHR is configured, e.g. the PHR could in this case be tied to the inclusion of BSR, i.e. when a BSR is included in a MAC PDU, so is the PHR. </w:t>
      </w:r>
      <w:r w:rsidR="003E4C28">
        <w:rPr>
          <w:rFonts w:eastAsia="MS Mincho"/>
          <w:szCs w:val="24"/>
          <w:lang w:eastAsia="en-GB"/>
        </w:rPr>
        <w:t xml:space="preserve"> We propose</w:t>
      </w:r>
    </w:p>
    <w:p w14:paraId="0D5697C8" w14:textId="54B873CD" w:rsidR="003E4C28" w:rsidRDefault="003E4C28" w:rsidP="003E4C28">
      <w:pPr>
        <w:pStyle w:val="Proposal"/>
      </w:pPr>
      <w:bookmarkStart w:id="16" w:name="_Toc79046968"/>
      <w:r>
        <w:t>A Data volume threshold is defined for when PHR is triggered.</w:t>
      </w:r>
      <w:bookmarkEnd w:id="16"/>
    </w:p>
    <w:p w14:paraId="0F82ED2C" w14:textId="77777777" w:rsidR="003E4C28" w:rsidRPr="00673624" w:rsidRDefault="003E4C28" w:rsidP="00673624">
      <w:pPr>
        <w:pStyle w:val="BodyText"/>
        <w:rPr>
          <w:rFonts w:eastAsia="MS Mincho"/>
          <w:szCs w:val="24"/>
          <w:lang w:eastAsia="en-GB"/>
        </w:rPr>
      </w:pPr>
    </w:p>
    <w:p w14:paraId="0B64E56F" w14:textId="366DB986" w:rsidR="003738D9" w:rsidRPr="002425B7" w:rsidRDefault="003738D9" w:rsidP="00ED2756">
      <w:pPr>
        <w:pStyle w:val="BodyText"/>
        <w:rPr>
          <w:sz w:val="32"/>
        </w:rPr>
      </w:pPr>
      <w:r>
        <w:t xml:space="preserve"> </w:t>
      </w:r>
      <w:r w:rsidRPr="002425B7">
        <w:rPr>
          <w:sz w:val="32"/>
        </w:rPr>
        <w:t>2.</w:t>
      </w:r>
      <w:r w:rsidR="000B5DF2">
        <w:rPr>
          <w:sz w:val="32"/>
        </w:rPr>
        <w:t>5</w:t>
      </w:r>
      <w:r w:rsidR="000B5DF2" w:rsidRPr="002425B7">
        <w:rPr>
          <w:sz w:val="32"/>
        </w:rPr>
        <w:t xml:space="preserve"> </w:t>
      </w:r>
      <w:r w:rsidRPr="002425B7">
        <w:rPr>
          <w:sz w:val="32"/>
        </w:rPr>
        <w:t>Data Volume Threshold (DVT)</w:t>
      </w:r>
    </w:p>
    <w:p w14:paraId="1A2D32F9" w14:textId="12643762" w:rsidR="009831AA" w:rsidRPr="00CE0424" w:rsidRDefault="003738D9" w:rsidP="00CE0424">
      <w:pPr>
        <w:pStyle w:val="BodyText"/>
      </w:pPr>
      <w:r>
        <w:t xml:space="preserve">Having a DVT for selecting between SDT and non-SDT procedures has been agreed but the details of how to compute the amount of data to compare to the DVT </w:t>
      </w:r>
      <w:r w:rsidR="00880EBC">
        <w:t xml:space="preserve">is under discussion in </w:t>
      </w:r>
      <w:r w:rsidR="005C36E7">
        <w:fldChar w:fldCharType="begin"/>
      </w:r>
      <w:r w:rsidR="005C36E7">
        <w:instrText xml:space="preserve"> REF _Ref78889395 \r \h </w:instrText>
      </w:r>
      <w:r w:rsidR="005C36E7">
        <w:fldChar w:fldCharType="separate"/>
      </w:r>
      <w:r w:rsidR="005C36E7">
        <w:t>[2]</w:t>
      </w:r>
      <w:r w:rsidR="005C36E7">
        <w:fldChar w:fldCharType="end"/>
      </w:r>
      <w:r>
        <w:t xml:space="preserve">. We believe that this </w:t>
      </w:r>
      <w:r w:rsidR="003D3F32">
        <w:t xml:space="preserve">should </w:t>
      </w:r>
      <w:r>
        <w:t>be done without considering headers</w:t>
      </w:r>
      <w:r w:rsidR="003D3F32">
        <w:t xml:space="preserve"> (since these </w:t>
      </w:r>
      <w:r w:rsidR="00CC506B">
        <w:t xml:space="preserve">will </w:t>
      </w:r>
      <w:r w:rsidR="003D3F32">
        <w:t>be unknown when the DVT is evaluated)</w:t>
      </w:r>
      <w:r>
        <w:t xml:space="preserve"> but only</w:t>
      </w:r>
      <w:r w:rsidR="008C7760">
        <w:t xml:space="preserve"> consider</w:t>
      </w:r>
      <w:r>
        <w:t xml:space="preserve"> the amount of data </w:t>
      </w:r>
      <w:r w:rsidR="008769B2">
        <w:t>available</w:t>
      </w:r>
      <w:r w:rsidR="00366CEE">
        <w:t xml:space="preserve"> in </w:t>
      </w:r>
      <w:r>
        <w:t>the DRBs configured for SDT when the SDT procedure is triggered</w:t>
      </w:r>
      <w:r w:rsidR="008C7760">
        <w:t xml:space="preserve">. </w:t>
      </w:r>
      <w:r w:rsidR="00BF58BD">
        <w:t>A detailed specification of the intra-layer interaction to enable the MAC layer to derive the amount of data should not be needed</w:t>
      </w:r>
      <w:r w:rsidR="001D1FA6">
        <w:t xml:space="preserve">, </w:t>
      </w:r>
      <w:proofErr w:type="gramStart"/>
      <w:r w:rsidR="001D1FA6">
        <w:t>i.e</w:t>
      </w:r>
      <w:r w:rsidR="00723001">
        <w:t>.</w:t>
      </w:r>
      <w:proofErr w:type="gramEnd"/>
      <w:r w:rsidR="001D1FA6">
        <w:t xml:space="preserve"> </w:t>
      </w:r>
      <w:r w:rsidR="00D40038">
        <w:t>it could be handled by UE implementation</w:t>
      </w:r>
      <w:r>
        <w:t xml:space="preserve">. </w:t>
      </w:r>
      <w:r w:rsidR="000C472A">
        <w:t>The threshold could th</w:t>
      </w:r>
      <w:r w:rsidR="008769B2">
        <w:t>e</w:t>
      </w:r>
      <w:r w:rsidR="000C472A">
        <w:t xml:space="preserve">n be set </w:t>
      </w:r>
      <w:r w:rsidR="00692A29">
        <w:t>considering</w:t>
      </w:r>
      <w:r w:rsidR="000C472A">
        <w:t xml:space="preserve"> the mandatory </w:t>
      </w:r>
      <w:proofErr w:type="spellStart"/>
      <w:r w:rsidR="000C472A" w:rsidRPr="00692A29">
        <w:rPr>
          <w:i/>
          <w:iCs/>
        </w:rPr>
        <w:t>RRCResu</w:t>
      </w:r>
      <w:r w:rsidR="00F41580" w:rsidRPr="00692A29">
        <w:rPr>
          <w:i/>
          <w:iCs/>
        </w:rPr>
        <w:t>m</w:t>
      </w:r>
      <w:r w:rsidR="000C472A" w:rsidRPr="00692A29">
        <w:rPr>
          <w:i/>
          <w:iCs/>
        </w:rPr>
        <w:t>eRequest</w:t>
      </w:r>
      <w:proofErr w:type="spellEnd"/>
      <w:r w:rsidR="00F41580">
        <w:t xml:space="preserve"> that will also be included in the first transmission</w:t>
      </w:r>
      <w:r w:rsidR="00F85258">
        <w:t>.</w:t>
      </w:r>
      <w:r w:rsidR="00BE4B05">
        <w:t xml:space="preserve"> </w:t>
      </w:r>
    </w:p>
    <w:p w14:paraId="631AD50F" w14:textId="268D4474" w:rsidR="00F85A8E" w:rsidRPr="009324CF" w:rsidRDefault="00E1466E" w:rsidP="00BE4B05">
      <w:pPr>
        <w:pStyle w:val="Proposal"/>
      </w:pPr>
      <w:bookmarkStart w:id="17" w:name="_Toc347823621"/>
      <w:bookmarkStart w:id="18" w:name="_Toc347824073"/>
      <w:bookmarkStart w:id="19" w:name="_Toc347824246"/>
      <w:bookmarkStart w:id="20" w:name="_Toc79046969"/>
      <w:r>
        <w:t>Data available in DRBs configured for SDT when SDT procedure is triggered is used for comparison to DVT threshold</w:t>
      </w:r>
      <w:r w:rsidR="00C20C85">
        <w:t xml:space="preserve">, </w:t>
      </w:r>
      <w:proofErr w:type="gramStart"/>
      <w:r w:rsidR="00C20C85">
        <w:t>i.e.</w:t>
      </w:r>
      <w:proofErr w:type="gramEnd"/>
      <w:r w:rsidR="00C20C85">
        <w:t xml:space="preserve"> no headers are considered</w:t>
      </w:r>
      <w:r w:rsidR="00CC2011" w:rsidRPr="00A04F49">
        <w:t>.</w:t>
      </w:r>
      <w:bookmarkEnd w:id="17"/>
      <w:bookmarkEnd w:id="18"/>
      <w:bookmarkEnd w:id="19"/>
      <w:bookmarkEnd w:id="20"/>
    </w:p>
    <w:p w14:paraId="66902D47" w14:textId="1CB0C7CE" w:rsidR="003D3F32" w:rsidRDefault="001E29F2" w:rsidP="00BE4B05">
      <w:pPr>
        <w:pStyle w:val="BodyText"/>
        <w:rPr>
          <w:rFonts w:cs="Arial"/>
          <w:noProof/>
          <w:lang w:eastAsia="ko-KR"/>
        </w:rPr>
      </w:pPr>
      <w:r w:rsidRPr="002425B7">
        <w:rPr>
          <w:sz w:val="32"/>
        </w:rPr>
        <w:t>2.</w:t>
      </w:r>
      <w:r w:rsidR="000B5DF2">
        <w:rPr>
          <w:sz w:val="32"/>
        </w:rPr>
        <w:t>6</w:t>
      </w:r>
      <w:r w:rsidR="000B5DF2" w:rsidRPr="002425B7">
        <w:rPr>
          <w:sz w:val="32"/>
        </w:rPr>
        <w:t xml:space="preserve"> </w:t>
      </w:r>
      <w:r>
        <w:rPr>
          <w:sz w:val="32"/>
        </w:rPr>
        <w:t>L</w:t>
      </w:r>
      <w:r w:rsidR="00BE4B05">
        <w:rPr>
          <w:sz w:val="32"/>
        </w:rPr>
        <w:t>ogical channel restriction</w:t>
      </w:r>
    </w:p>
    <w:p w14:paraId="33655B4B" w14:textId="0E626B20" w:rsidR="001E29F2" w:rsidRDefault="001E29F2" w:rsidP="00673624">
      <w:pPr>
        <w:pStyle w:val="BodyText"/>
        <w:rPr>
          <w:lang w:eastAsia="ko-KR"/>
        </w:rPr>
      </w:pPr>
      <w:r w:rsidRPr="00CF75BD">
        <w:rPr>
          <w:rFonts w:cs="Arial"/>
          <w:noProof/>
          <w:lang w:eastAsia="ko-KR"/>
        </w:rPr>
        <w:t>Multiplexing</w:t>
      </w:r>
      <w:r w:rsidRPr="00CF75BD">
        <w:rPr>
          <w:rFonts w:cs="Arial"/>
          <w:lang w:eastAsia="ko-KR"/>
        </w:rPr>
        <w:t xml:space="preserve"> of data from different logical channels/DRBs is handled using</w:t>
      </w:r>
      <w:r w:rsidR="00B75D54">
        <w:rPr>
          <w:rFonts w:cs="Arial"/>
          <w:lang w:eastAsia="ko-KR"/>
        </w:rPr>
        <w:t xml:space="preserve"> LCP and</w:t>
      </w:r>
      <w:r w:rsidRPr="00CF75BD">
        <w:rPr>
          <w:rFonts w:cs="Arial"/>
          <w:lang w:eastAsia="ko-KR"/>
        </w:rPr>
        <w:t xml:space="preserve"> logical channel restriction </w:t>
      </w:r>
      <w:r w:rsidR="00B75D54">
        <w:rPr>
          <w:rFonts w:cs="Arial"/>
          <w:lang w:eastAsia="ko-KR"/>
        </w:rPr>
        <w:t xml:space="preserve">and </w:t>
      </w:r>
      <w:r w:rsidR="005E329E">
        <w:rPr>
          <w:rFonts w:cs="Arial"/>
          <w:lang w:eastAsia="ko-KR"/>
        </w:rPr>
        <w:t xml:space="preserve">should be handled </w:t>
      </w:r>
      <w:r w:rsidRPr="00CF75BD">
        <w:rPr>
          <w:rFonts w:cs="Arial"/>
          <w:lang w:eastAsia="ko-KR"/>
        </w:rPr>
        <w:t>similarly to existing mechanisms</w:t>
      </w:r>
      <w:r w:rsidR="00B75D54">
        <w:rPr>
          <w:rFonts w:cs="Arial"/>
          <w:lang w:eastAsia="ko-KR"/>
        </w:rPr>
        <w:t xml:space="preserve"> also for </w:t>
      </w:r>
      <w:r w:rsidR="00B75D54" w:rsidRPr="00CF75BD">
        <w:rPr>
          <w:rFonts w:cs="Arial"/>
          <w:noProof/>
          <w:lang w:eastAsia="ko-KR"/>
        </w:rPr>
        <w:t>SDT</w:t>
      </w:r>
      <w:r w:rsidRPr="00CF75BD">
        <w:rPr>
          <w:rFonts w:cs="Arial"/>
          <w:lang w:eastAsia="ko-KR"/>
        </w:rPr>
        <w:t xml:space="preserve">. </w:t>
      </w:r>
      <w:r w:rsidR="005E329E">
        <w:rPr>
          <w:rFonts w:cs="Arial"/>
          <w:lang w:eastAsia="ko-KR"/>
        </w:rPr>
        <w:t>It</w:t>
      </w:r>
      <w:r w:rsidRPr="00CF75BD">
        <w:rPr>
          <w:rFonts w:cs="Arial"/>
          <w:lang w:eastAsia="ko-KR"/>
        </w:rPr>
        <w:t xml:space="preserve"> should apply</w:t>
      </w:r>
      <w:r w:rsidR="005E329E">
        <w:rPr>
          <w:rFonts w:cs="Arial"/>
          <w:lang w:eastAsia="ko-KR"/>
        </w:rPr>
        <w:t xml:space="preserve"> both</w:t>
      </w:r>
      <w:r w:rsidRPr="00CF75BD">
        <w:rPr>
          <w:rFonts w:cs="Arial"/>
          <w:lang w:eastAsia="ko-KR"/>
        </w:rPr>
        <w:t xml:space="preserve"> for RACH and CG based SDT, using a separate or common parameter. This would further (</w:t>
      </w:r>
      <w:proofErr w:type="gramStart"/>
      <w:r w:rsidRPr="00CF75BD">
        <w:rPr>
          <w:rFonts w:cs="Arial"/>
          <w:lang w:eastAsia="ko-KR"/>
        </w:rPr>
        <w:t>i.e.</w:t>
      </w:r>
      <w:proofErr w:type="gramEnd"/>
      <w:r w:rsidRPr="00CF75BD">
        <w:rPr>
          <w:rFonts w:cs="Arial"/>
          <w:lang w:eastAsia="ko-KR"/>
        </w:rPr>
        <w:t xml:space="preserve"> reusing </w:t>
      </w:r>
      <w:r w:rsidRPr="00D73FAF">
        <w:rPr>
          <w:rFonts w:cs="Arial"/>
          <w:i/>
          <w:iCs/>
          <w:lang w:eastAsia="ko-KR"/>
        </w:rPr>
        <w:t>configuredGrantType1Allowed</w:t>
      </w:r>
      <w:r w:rsidR="00B75D54">
        <w:rPr>
          <w:rFonts w:cs="Arial"/>
          <w:lang w:eastAsia="ko-KR"/>
        </w:rPr>
        <w:t xml:space="preserve"> and </w:t>
      </w:r>
      <w:proofErr w:type="spellStart"/>
      <w:r w:rsidR="00B75D54" w:rsidRPr="00D73FAF">
        <w:rPr>
          <w:i/>
          <w:iCs/>
          <w:lang w:eastAsia="en-GB"/>
        </w:rPr>
        <w:t>allowedCG</w:t>
      </w:r>
      <w:proofErr w:type="spellEnd"/>
      <w:r w:rsidR="00B75D54" w:rsidRPr="00D73FAF">
        <w:rPr>
          <w:i/>
          <w:iCs/>
          <w:lang w:eastAsia="en-GB"/>
        </w:rPr>
        <w:t>-List</w:t>
      </w:r>
      <w:r w:rsidRPr="009A0267">
        <w:rPr>
          <w:rFonts w:cs="Arial"/>
          <w:lang w:eastAsia="ko-KR"/>
        </w:rPr>
        <w:t>)</w:t>
      </w:r>
      <w:r w:rsidRPr="00CF75BD">
        <w:rPr>
          <w:rFonts w:cs="Arial"/>
          <w:lang w:eastAsia="ko-KR"/>
        </w:rPr>
        <w:t xml:space="preserve"> allow that e.g. some LCH are limited to RA-SDT, while other could be allowed on both CG-SDT and RA-SDT. This could be useful to avoid sending larger SRB2 messages over CG</w:t>
      </w:r>
      <w:r w:rsidR="005E329E">
        <w:rPr>
          <w:rFonts w:cs="Arial"/>
          <w:lang w:eastAsia="ko-KR"/>
        </w:rPr>
        <w:t xml:space="preserve"> and to allow triggering RA-SDT when data arrives to a LCH not configured for CG-SDT</w:t>
      </w:r>
      <w:r w:rsidRPr="00CF75BD">
        <w:rPr>
          <w:rFonts w:cs="Arial"/>
          <w:lang w:eastAsia="ko-KR"/>
        </w:rPr>
        <w:t>.</w:t>
      </w:r>
      <w:r w:rsidR="00ED2C90">
        <w:rPr>
          <w:rFonts w:cs="Arial"/>
          <w:lang w:eastAsia="ko-KR"/>
        </w:rPr>
        <w:t xml:space="preserve"> An important example is </w:t>
      </w:r>
      <w:r w:rsidR="00F928C6">
        <w:t xml:space="preserve">the case of urgent or more latency sensitive data arriving during CG-SDT operation with long CG periodicity, this </w:t>
      </w:r>
      <w:r w:rsidR="004B6F05">
        <w:t xml:space="preserve">can </w:t>
      </w:r>
      <w:r w:rsidR="00F928C6">
        <w:t xml:space="preserve">be handled by LCH restrictions so that this data is not configured on the same LCH as the data intended for CG-SDT. This could be accomplished by setting the </w:t>
      </w:r>
      <w:r w:rsidR="00F928C6" w:rsidRPr="003A58BE">
        <w:rPr>
          <w:i/>
          <w:lang w:eastAsia="ko-KR"/>
        </w:rPr>
        <w:t>configuredGrantType1Allowed</w:t>
      </w:r>
      <w:r w:rsidR="00F928C6">
        <w:rPr>
          <w:i/>
          <w:lang w:eastAsia="ko-KR"/>
        </w:rPr>
        <w:t xml:space="preserve"> </w:t>
      </w:r>
      <w:r w:rsidR="00F928C6" w:rsidRPr="00277FC4">
        <w:rPr>
          <w:iCs/>
          <w:lang w:eastAsia="ko-KR"/>
        </w:rPr>
        <w:t>parameter</w:t>
      </w:r>
      <w:r w:rsidR="00F928C6">
        <w:rPr>
          <w:iCs/>
          <w:lang w:eastAsia="ko-KR"/>
        </w:rPr>
        <w:t xml:space="preserve"> to false for the LCH which is configured for the “high </w:t>
      </w:r>
      <w:proofErr w:type="spellStart"/>
      <w:r w:rsidR="00F928C6">
        <w:rPr>
          <w:iCs/>
          <w:lang w:eastAsia="ko-KR"/>
        </w:rPr>
        <w:t>prio</w:t>
      </w:r>
      <w:proofErr w:type="spellEnd"/>
      <w:r w:rsidR="00F928C6">
        <w:rPr>
          <w:iCs/>
          <w:lang w:eastAsia="ko-KR"/>
        </w:rPr>
        <w:t xml:space="preserve">-low latency data” and also configuring a higher priority for this LCH. In this case, when this LCH gets data, it will trigger a BSR but since the UL resources available (the CG-SDT transmission occasion) do not meet the LCH mapping </w:t>
      </w:r>
      <w:r w:rsidR="00F928C6">
        <w:rPr>
          <w:iCs/>
          <w:lang w:eastAsia="ko-KR"/>
        </w:rPr>
        <w:lastRenderedPageBreak/>
        <w:t xml:space="preserve">restrictions configured for the LCH, it will trigger a scheduling request which in turn triggers a </w:t>
      </w:r>
      <w:proofErr w:type="gramStart"/>
      <w:r w:rsidR="00F928C6">
        <w:rPr>
          <w:iCs/>
          <w:lang w:eastAsia="ko-KR"/>
        </w:rPr>
        <w:t>random access</w:t>
      </w:r>
      <w:proofErr w:type="gramEnd"/>
      <w:r w:rsidR="00F928C6">
        <w:rPr>
          <w:iCs/>
          <w:lang w:eastAsia="ko-KR"/>
        </w:rPr>
        <w:t xml:space="preserve"> procedure</w:t>
      </w:r>
      <w:r w:rsidR="004B6F05">
        <w:rPr>
          <w:iCs/>
          <w:lang w:eastAsia="ko-KR"/>
        </w:rPr>
        <w:t>.</w:t>
      </w:r>
    </w:p>
    <w:p w14:paraId="526C1753" w14:textId="77777777" w:rsidR="001E29F2" w:rsidRDefault="001E29F2" w:rsidP="001E29F2">
      <w:pPr>
        <w:pStyle w:val="Proposal"/>
        <w:rPr>
          <w:lang w:eastAsia="ko-KR"/>
        </w:rPr>
      </w:pPr>
      <w:bookmarkStart w:id="21" w:name="_Toc68177744"/>
      <w:bookmarkStart w:id="22" w:name="_Toc79046970"/>
      <w:r>
        <w:rPr>
          <w:lang w:eastAsia="ko-KR"/>
        </w:rPr>
        <w:t xml:space="preserve">Multiplexing </w:t>
      </w:r>
      <w:r>
        <w:t>of</w:t>
      </w:r>
      <w:r>
        <w:rPr>
          <w:lang w:eastAsia="ko-KR"/>
        </w:rPr>
        <w:t xml:space="preserve"> different LCHs in an SDT MAC PDU is subject to configuration.</w:t>
      </w:r>
      <w:bookmarkEnd w:id="21"/>
      <w:bookmarkEnd w:id="22"/>
    </w:p>
    <w:p w14:paraId="17C7B0A5" w14:textId="77777777" w:rsidR="001E29F2" w:rsidRDefault="001E29F2" w:rsidP="001E29F2">
      <w:pPr>
        <w:pStyle w:val="Proposal"/>
        <w:rPr>
          <w:lang w:eastAsia="ko-KR"/>
        </w:rPr>
      </w:pPr>
      <w:bookmarkStart w:id="23" w:name="_Toc68177745"/>
      <w:bookmarkStart w:id="24" w:name="_Toc79046971"/>
      <w:r>
        <w:rPr>
          <w:lang w:eastAsia="ko-KR"/>
        </w:rPr>
        <w:t>LCH restrictions are separately configured for CG-SDT and RA-SDT</w:t>
      </w:r>
      <w:bookmarkEnd w:id="23"/>
      <w:bookmarkEnd w:id="24"/>
    </w:p>
    <w:p w14:paraId="00FE35DF" w14:textId="4035C249" w:rsidR="001E29F2" w:rsidRDefault="001C66D7" w:rsidP="001C66D7">
      <w:pPr>
        <w:pStyle w:val="BodyText"/>
        <w:rPr>
          <w:iCs/>
          <w:lang w:eastAsia="ko-KR"/>
        </w:rPr>
      </w:pPr>
      <w:r w:rsidRPr="00D73FAF">
        <w:rPr>
          <w:iCs/>
          <w:lang w:eastAsia="ko-KR"/>
        </w:rPr>
        <w:t>Another aspect to consider</w:t>
      </w:r>
      <w:r w:rsidR="007F2808">
        <w:rPr>
          <w:iCs/>
          <w:lang w:eastAsia="ko-KR"/>
        </w:rPr>
        <w:t xml:space="preserve"> is that if LCH restrictions are used, this should be reflected in the selection criteria for CG-SDT</w:t>
      </w:r>
      <w:r w:rsidR="00531E21">
        <w:rPr>
          <w:iCs/>
          <w:lang w:eastAsia="ko-KR"/>
        </w:rPr>
        <w:t>. That is, in addition to TA validation, it needs to be checked that the data</w:t>
      </w:r>
      <w:r w:rsidR="007579AE">
        <w:rPr>
          <w:iCs/>
          <w:lang w:eastAsia="ko-KR"/>
        </w:rPr>
        <w:t xml:space="preserve"> that triggered the SDT procedure is not restricted to use only RA-SDT</w:t>
      </w:r>
      <w:r w:rsidR="00877549">
        <w:rPr>
          <w:iCs/>
          <w:lang w:eastAsia="ko-KR"/>
        </w:rPr>
        <w:t>. If this would happen,</w:t>
      </w:r>
      <w:r w:rsidR="002D6333">
        <w:rPr>
          <w:iCs/>
          <w:lang w:eastAsia="ko-KR"/>
        </w:rPr>
        <w:t xml:space="preserve"> </w:t>
      </w:r>
      <w:r w:rsidR="00DD7201">
        <w:rPr>
          <w:iCs/>
          <w:lang w:eastAsia="ko-KR"/>
        </w:rPr>
        <w:t xml:space="preserve">it will lead to additional delay to first initiate the CG-SDT procedure only to </w:t>
      </w:r>
      <w:r w:rsidR="00BA4797">
        <w:rPr>
          <w:iCs/>
          <w:lang w:eastAsia="ko-KR"/>
        </w:rPr>
        <w:t>find that the data needs to be transmitted using RA-SDT. We propose.</w:t>
      </w:r>
    </w:p>
    <w:p w14:paraId="37DE9308" w14:textId="4317FD7C" w:rsidR="00BA4797" w:rsidRDefault="00BA4797" w:rsidP="007E442E">
      <w:pPr>
        <w:pStyle w:val="Proposal"/>
        <w:rPr>
          <w:lang w:eastAsia="ko-KR"/>
        </w:rPr>
      </w:pPr>
      <w:bookmarkStart w:id="25" w:name="_Toc79046972"/>
      <w:r>
        <w:rPr>
          <w:lang w:eastAsia="ko-KR"/>
        </w:rPr>
        <w:t>LCH restrictions should be</w:t>
      </w:r>
      <w:r w:rsidR="00496B5E">
        <w:rPr>
          <w:lang w:eastAsia="ko-KR"/>
        </w:rPr>
        <w:t xml:space="preserve"> part of the</w:t>
      </w:r>
      <w:r>
        <w:rPr>
          <w:lang w:eastAsia="ko-KR"/>
        </w:rPr>
        <w:t xml:space="preserve"> </w:t>
      </w:r>
      <w:r w:rsidR="009F2BD6">
        <w:rPr>
          <w:lang w:eastAsia="ko-KR"/>
        </w:rPr>
        <w:t>validation</w:t>
      </w:r>
      <w:r w:rsidR="00496B5E">
        <w:rPr>
          <w:lang w:eastAsia="ko-KR"/>
        </w:rPr>
        <w:t xml:space="preserve"> of</w:t>
      </w:r>
      <w:r>
        <w:rPr>
          <w:lang w:eastAsia="ko-KR"/>
        </w:rPr>
        <w:t xml:space="preserve"> CG-SDT and RA-SDT</w:t>
      </w:r>
      <w:r w:rsidR="00916F65">
        <w:rPr>
          <w:lang w:eastAsia="ko-KR"/>
        </w:rPr>
        <w:t xml:space="preserve"> at SDT procedure initialization</w:t>
      </w:r>
      <w:bookmarkEnd w:id="25"/>
    </w:p>
    <w:p w14:paraId="696B4781" w14:textId="77777777" w:rsidR="00BA4797" w:rsidRPr="00D73FAF" w:rsidRDefault="00BA4797" w:rsidP="00D73FAF">
      <w:pPr>
        <w:pStyle w:val="BodyText"/>
        <w:rPr>
          <w:iCs/>
          <w:lang w:eastAsia="ko-KR"/>
        </w:rPr>
      </w:pPr>
    </w:p>
    <w:p w14:paraId="64B4EC01" w14:textId="77777777" w:rsidR="00C01F33" w:rsidRPr="00CE0424" w:rsidRDefault="00C01F33" w:rsidP="00CE0424">
      <w:pPr>
        <w:pStyle w:val="Heading1"/>
      </w:pPr>
      <w:r w:rsidRPr="00CE0424">
        <w:t>Conclusion</w:t>
      </w:r>
    </w:p>
    <w:p w14:paraId="02F8F616" w14:textId="7423340D"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4EF085F" w14:textId="2DF2CDFD" w:rsidR="00D73FA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46962" w:history="1">
        <w:r w:rsidR="00D73FAF" w:rsidRPr="00A42990">
          <w:rPr>
            <w:rStyle w:val="Hyperlink"/>
            <w:noProof/>
          </w:rPr>
          <w:t>Proposal 1</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rPr>
          <w:t>Once the SUL or NUL has been selected, the SDT procedure is carried out on the selected carrier.</w:t>
        </w:r>
      </w:hyperlink>
    </w:p>
    <w:p w14:paraId="5121022C" w14:textId="4AC8231B" w:rsidR="00D73FAF" w:rsidRDefault="005510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46963" w:history="1">
        <w:r w:rsidR="00D73FAF" w:rsidRPr="00A42990">
          <w:rPr>
            <w:rStyle w:val="Hyperlink"/>
            <w:noProof/>
          </w:rPr>
          <w:t>Proposal 2</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rPr>
          <w:t xml:space="preserve">The CG configuration on the </w:t>
        </w:r>
        <w:r w:rsidR="00D73FAF" w:rsidRPr="00A42990">
          <w:rPr>
            <w:rStyle w:val="Hyperlink"/>
            <w:i/>
            <w:iCs/>
            <w:noProof/>
          </w:rPr>
          <w:t>not</w:t>
        </w:r>
        <w:r w:rsidR="00D73FAF" w:rsidRPr="00A42990">
          <w:rPr>
            <w:rStyle w:val="Hyperlink"/>
            <w:noProof/>
          </w:rPr>
          <w:t xml:space="preserve"> selected carrier is released</w:t>
        </w:r>
      </w:hyperlink>
    </w:p>
    <w:p w14:paraId="7A5D2DC5" w14:textId="0A04A9AD" w:rsidR="00D73FAF" w:rsidRDefault="005510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46964" w:history="1">
        <w:r w:rsidR="00D73FAF" w:rsidRPr="00A42990">
          <w:rPr>
            <w:rStyle w:val="Hyperlink"/>
            <w:noProof/>
          </w:rPr>
          <w:t>Proposal 3</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rPr>
          <w:t>Once the SUL or NUL has been selected in the SDT procedure, it is not re-evaluated in the Random access procedure.</w:t>
        </w:r>
      </w:hyperlink>
    </w:p>
    <w:p w14:paraId="63B1CBF6" w14:textId="1A070A8D" w:rsidR="00D73FAF" w:rsidRDefault="005510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46965" w:history="1">
        <w:r w:rsidR="00D73FAF" w:rsidRPr="00A42990">
          <w:rPr>
            <w:rStyle w:val="Hyperlink"/>
            <w:noProof/>
            <w:lang w:eastAsia="sv-SE"/>
          </w:rPr>
          <w:t>Proposal 4</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rPr>
          <w:t>As a baseline, BSR reporting to trigger a DCI to C-RNTI for new grant is the baseline for subsequent transmissions in SDT</w:t>
        </w:r>
        <w:r w:rsidR="00D73FAF" w:rsidRPr="00A42990">
          <w:rPr>
            <w:rStyle w:val="Hyperlink"/>
            <w:iCs/>
            <w:noProof/>
            <w:lang w:eastAsia="ko-KR"/>
          </w:rPr>
          <w:t>.</w:t>
        </w:r>
      </w:hyperlink>
    </w:p>
    <w:p w14:paraId="36EA7DB3" w14:textId="147EFAF1" w:rsidR="00D73FAF" w:rsidRDefault="005510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46966" w:history="1">
        <w:r w:rsidR="00D73FAF" w:rsidRPr="00A42990">
          <w:rPr>
            <w:rStyle w:val="Hyperlink"/>
            <w:noProof/>
          </w:rPr>
          <w:t>Proposal 5</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rPr>
          <w:t>Legacy BSR triggers are sufficient to handle arrival of new SDT data and transmission (multiplexing of BSR into the MAC PDU, when triggered).</w:t>
        </w:r>
      </w:hyperlink>
    </w:p>
    <w:p w14:paraId="5CE513FE" w14:textId="1A333144" w:rsidR="00D73FAF" w:rsidRDefault="005510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46967" w:history="1">
        <w:r w:rsidR="00D73FAF" w:rsidRPr="00A42990">
          <w:rPr>
            <w:rStyle w:val="Hyperlink"/>
            <w:noProof/>
          </w:rPr>
          <w:t>Proposal 6</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rPr>
          <w:t>As a baseline, legacy BSR formats are used for SDT.</w:t>
        </w:r>
      </w:hyperlink>
    </w:p>
    <w:p w14:paraId="5B3CDA8D" w14:textId="4552FB1B" w:rsidR="00D73FAF" w:rsidRDefault="005510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46968" w:history="1">
        <w:r w:rsidR="00D73FAF" w:rsidRPr="00A42990">
          <w:rPr>
            <w:rStyle w:val="Hyperlink"/>
            <w:noProof/>
          </w:rPr>
          <w:t>Proposal 7</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rPr>
          <w:t>A Data volume threshold is defined for when PHR is triggered.</w:t>
        </w:r>
      </w:hyperlink>
    </w:p>
    <w:p w14:paraId="489946E9" w14:textId="6963AE79" w:rsidR="00D73FAF" w:rsidRDefault="005510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46969" w:history="1">
        <w:r w:rsidR="00D73FAF" w:rsidRPr="00A42990">
          <w:rPr>
            <w:rStyle w:val="Hyperlink"/>
            <w:noProof/>
          </w:rPr>
          <w:t>Proposal 8</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rPr>
          <w:t>Data available in DRBs configured for SDT when SDT procedure is triggered is used for comparison to DVT threshold, i.e. no headers are considered.</w:t>
        </w:r>
      </w:hyperlink>
    </w:p>
    <w:p w14:paraId="3B4243DE" w14:textId="3BC37E9A" w:rsidR="00D73FAF" w:rsidRDefault="005510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46970" w:history="1">
        <w:r w:rsidR="00D73FAF" w:rsidRPr="00A42990">
          <w:rPr>
            <w:rStyle w:val="Hyperlink"/>
            <w:noProof/>
            <w:lang w:eastAsia="ko-KR"/>
          </w:rPr>
          <w:t>Proposal 9</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lang w:eastAsia="ko-KR"/>
          </w:rPr>
          <w:t xml:space="preserve">Multiplexing </w:t>
        </w:r>
        <w:r w:rsidR="00D73FAF" w:rsidRPr="00A42990">
          <w:rPr>
            <w:rStyle w:val="Hyperlink"/>
            <w:noProof/>
          </w:rPr>
          <w:t>of</w:t>
        </w:r>
        <w:r w:rsidR="00D73FAF" w:rsidRPr="00A42990">
          <w:rPr>
            <w:rStyle w:val="Hyperlink"/>
            <w:noProof/>
            <w:lang w:eastAsia="ko-KR"/>
          </w:rPr>
          <w:t xml:space="preserve"> different LCHs in an SDT MAC PDU is subject to configuration.</w:t>
        </w:r>
      </w:hyperlink>
    </w:p>
    <w:p w14:paraId="783272B6" w14:textId="10B02343" w:rsidR="00D73FAF" w:rsidRDefault="005510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46971" w:history="1">
        <w:r w:rsidR="00D73FAF" w:rsidRPr="00A42990">
          <w:rPr>
            <w:rStyle w:val="Hyperlink"/>
            <w:noProof/>
            <w:lang w:eastAsia="ko-KR"/>
          </w:rPr>
          <w:t>Proposal 10</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lang w:eastAsia="ko-KR"/>
          </w:rPr>
          <w:t>LCH restrictions are separately configured for CG-SDT and RA-SDT</w:t>
        </w:r>
      </w:hyperlink>
    </w:p>
    <w:p w14:paraId="4267B2DE" w14:textId="13B64691" w:rsidR="00D73FAF" w:rsidRDefault="005510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46972" w:history="1">
        <w:r w:rsidR="00D73FAF" w:rsidRPr="00A42990">
          <w:rPr>
            <w:rStyle w:val="Hyperlink"/>
            <w:noProof/>
            <w:lang w:eastAsia="ko-KR"/>
          </w:rPr>
          <w:t>Proposal 11</w:t>
        </w:r>
        <w:r w:rsidR="00D73FAF">
          <w:rPr>
            <w:rFonts w:asciiTheme="minorHAnsi" w:eastAsiaTheme="minorEastAsia" w:hAnsiTheme="minorHAnsi" w:cstheme="minorBidi"/>
            <w:b w:val="0"/>
            <w:noProof/>
            <w:sz w:val="22"/>
            <w:szCs w:val="22"/>
            <w:lang w:val="sv-SE" w:eastAsia="sv-SE"/>
          </w:rPr>
          <w:tab/>
        </w:r>
        <w:r w:rsidR="00D73FAF" w:rsidRPr="00A42990">
          <w:rPr>
            <w:rStyle w:val="Hyperlink"/>
            <w:noProof/>
            <w:lang w:eastAsia="ko-KR"/>
          </w:rPr>
          <w:t>LCH restrictions should be part of the validation of CG-SDT and RA-SDT at SDT procedure initialization</w:t>
        </w:r>
      </w:hyperlink>
    </w:p>
    <w:p w14:paraId="03340402" w14:textId="1F45C724" w:rsidR="00F507D1" w:rsidRPr="00CE0424" w:rsidRDefault="006E1C82" w:rsidP="00CE0424">
      <w:pPr>
        <w:pStyle w:val="Heading1"/>
      </w:pPr>
      <w:r>
        <w:rPr>
          <w:b/>
          <w:bCs/>
          <w:lang w:val="en-US"/>
        </w:rPr>
        <w:fldChar w:fldCharType="end"/>
      </w:r>
      <w:bookmarkStart w:id="26" w:name="_In-sequence_SDU_delivery"/>
      <w:bookmarkEnd w:id="26"/>
      <w:r w:rsidR="00F507D1" w:rsidRPr="00CE0424">
        <w:t>References</w:t>
      </w:r>
    </w:p>
    <w:p w14:paraId="2F96BD83" w14:textId="7A5D35B7" w:rsidR="00256E3D" w:rsidRPr="00CE0424" w:rsidRDefault="00D13BD6" w:rsidP="007F1BB6">
      <w:pPr>
        <w:pStyle w:val="Reference"/>
      </w:pPr>
      <w:bookmarkStart w:id="27" w:name="_Annex"/>
      <w:bookmarkStart w:id="28" w:name="_Ref67905907"/>
      <w:bookmarkStart w:id="29" w:name="_Ref61525403"/>
      <w:bookmarkStart w:id="30" w:name="_Ref174151459"/>
      <w:bookmarkStart w:id="31" w:name="_Ref189809556"/>
      <w:bookmarkEnd w:id="27"/>
      <w:r w:rsidRPr="007F1BB6">
        <w:t>R2-2101162</w:t>
      </w:r>
      <w:r w:rsidR="00B03BEB">
        <w:rPr>
          <w:rStyle w:val="Hyperlink"/>
        </w:rPr>
        <w:t>, “</w:t>
      </w:r>
      <w:r w:rsidR="00B03BEB">
        <w:t xml:space="preserve">Email discussion summary #551: Common aspects between CG and RACH”, ZTE Corporation, </w:t>
      </w:r>
      <w:proofErr w:type="spellStart"/>
      <w:r w:rsidR="00B03BEB">
        <w:t>Sanechips</w:t>
      </w:r>
      <w:bookmarkEnd w:id="28"/>
      <w:proofErr w:type="spellEnd"/>
      <w:r w:rsidR="00B03BEB" w:rsidRPr="00D73FAF">
        <w:rPr>
          <w:rFonts w:cs="Arial"/>
          <w:sz w:val="22"/>
          <w:szCs w:val="22"/>
          <w:lang w:val="en-US"/>
        </w:rPr>
        <w:t xml:space="preserve"> </w:t>
      </w:r>
      <w:bookmarkEnd w:id="29"/>
      <w:bookmarkEnd w:id="30"/>
      <w:bookmarkEnd w:id="31"/>
    </w:p>
    <w:sectPr w:rsidR="00256E3D" w:rsidRPr="00CE0424" w:rsidSect="00EC548B">
      <w:headerReference w:type="even" r:id="rId15"/>
      <w:footerReference w:type="default" r:id="rId16"/>
      <w:footnotePr>
        <w:numRestart w:val="eachSect"/>
      </w:footnotePr>
      <w:pgSz w:w="11907" w:h="16840" w:orient="landscape" w:code="9"/>
      <w:pgMar w:top="2654" w:right="1134" w:bottom="2665"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14635" w14:textId="77777777" w:rsidR="00551000" w:rsidRDefault="00551000">
      <w:r>
        <w:separator/>
      </w:r>
    </w:p>
  </w:endnote>
  <w:endnote w:type="continuationSeparator" w:id="0">
    <w:p w14:paraId="3B9BEE83" w14:textId="77777777" w:rsidR="00551000" w:rsidRDefault="00551000">
      <w:r>
        <w:continuationSeparator/>
      </w:r>
    </w:p>
  </w:endnote>
  <w:endnote w:type="continuationNotice" w:id="1">
    <w:p w14:paraId="436D1BDF" w14:textId="77777777" w:rsidR="00551000" w:rsidRDefault="00551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5E39C" w14:textId="77777777" w:rsidR="00EB7770" w:rsidRDefault="00EB77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765EA" w14:textId="77777777" w:rsidR="00551000" w:rsidRDefault="00551000">
      <w:r>
        <w:separator/>
      </w:r>
    </w:p>
  </w:footnote>
  <w:footnote w:type="continuationSeparator" w:id="0">
    <w:p w14:paraId="03280C0C" w14:textId="77777777" w:rsidR="00551000" w:rsidRDefault="00551000">
      <w:r>
        <w:continuationSeparator/>
      </w:r>
    </w:p>
  </w:footnote>
  <w:footnote w:type="continuationNotice" w:id="1">
    <w:p w14:paraId="1751AE91" w14:textId="77777777" w:rsidR="00551000" w:rsidRDefault="005510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4AB6" w14:textId="77777777" w:rsidR="00EB7770" w:rsidRDefault="00EB77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417FCB"/>
    <w:multiLevelType w:val="hybridMultilevel"/>
    <w:tmpl w:val="A3EC26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323D"/>
    <w:multiLevelType w:val="hybridMultilevel"/>
    <w:tmpl w:val="14FC74C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EA340D"/>
    <w:multiLevelType w:val="multilevel"/>
    <w:tmpl w:val="03FE94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F10CF9"/>
    <w:multiLevelType w:val="hybridMultilevel"/>
    <w:tmpl w:val="D2BADE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8F4EDF"/>
    <w:multiLevelType w:val="hybridMultilevel"/>
    <w:tmpl w:val="01848B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CF17C47"/>
    <w:multiLevelType w:val="hybridMultilevel"/>
    <w:tmpl w:val="10E2F5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D67203F"/>
    <w:multiLevelType w:val="hybridMultilevel"/>
    <w:tmpl w:val="51B88D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7"/>
  </w:num>
  <w:num w:numId="18">
    <w:abstractNumId w:val="9"/>
  </w:num>
  <w:num w:numId="19">
    <w:abstractNumId w:val="5"/>
  </w:num>
  <w:num w:numId="20">
    <w:abstractNumId w:val="28"/>
  </w:num>
  <w:num w:numId="21">
    <w:abstractNumId w:val="13"/>
  </w:num>
  <w:num w:numId="22">
    <w:abstractNumId w:val="27"/>
  </w:num>
  <w:num w:numId="23">
    <w:abstractNumId w:val="8"/>
  </w:num>
  <w:num w:numId="24">
    <w:abstractNumId w:val="26"/>
  </w:num>
  <w:num w:numId="25">
    <w:abstractNumId w:val="19"/>
  </w:num>
  <w:num w:numId="26">
    <w:abstractNumId w:val="14"/>
  </w:num>
  <w:num w:numId="27">
    <w:abstractNumId w:val="30"/>
  </w:num>
  <w:num w:numId="28">
    <w:abstractNumId w:val="29"/>
  </w:num>
  <w:num w:numId="29">
    <w:abstractNumId w:val="4"/>
  </w:num>
  <w:num w:numId="30">
    <w:abstractNumId w:val="6"/>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568"/>
    <w:rsid w:val="00000049"/>
    <w:rsid w:val="0000060F"/>
    <w:rsid w:val="000006E1"/>
    <w:rsid w:val="00000A75"/>
    <w:rsid w:val="0000187A"/>
    <w:rsid w:val="00002A37"/>
    <w:rsid w:val="0000564C"/>
    <w:rsid w:val="00006446"/>
    <w:rsid w:val="00006896"/>
    <w:rsid w:val="00006C11"/>
    <w:rsid w:val="00007CDC"/>
    <w:rsid w:val="00007DAB"/>
    <w:rsid w:val="00011B28"/>
    <w:rsid w:val="0001378C"/>
    <w:rsid w:val="000159A5"/>
    <w:rsid w:val="00015ADA"/>
    <w:rsid w:val="00015D15"/>
    <w:rsid w:val="0002263D"/>
    <w:rsid w:val="00022750"/>
    <w:rsid w:val="0002440E"/>
    <w:rsid w:val="000244CE"/>
    <w:rsid w:val="000253A0"/>
    <w:rsid w:val="0002564D"/>
    <w:rsid w:val="00025A86"/>
    <w:rsid w:val="00025ECA"/>
    <w:rsid w:val="00027C52"/>
    <w:rsid w:val="0003022D"/>
    <w:rsid w:val="000325B8"/>
    <w:rsid w:val="000338B4"/>
    <w:rsid w:val="00034C15"/>
    <w:rsid w:val="00034E67"/>
    <w:rsid w:val="00035C7A"/>
    <w:rsid w:val="00036113"/>
    <w:rsid w:val="00036BA1"/>
    <w:rsid w:val="0003710F"/>
    <w:rsid w:val="000422E2"/>
    <w:rsid w:val="00042F22"/>
    <w:rsid w:val="000444EF"/>
    <w:rsid w:val="00052A07"/>
    <w:rsid w:val="000534E3"/>
    <w:rsid w:val="00054BDD"/>
    <w:rsid w:val="0005606A"/>
    <w:rsid w:val="00057117"/>
    <w:rsid w:val="000616E7"/>
    <w:rsid w:val="0006487E"/>
    <w:rsid w:val="00065DD2"/>
    <w:rsid w:val="00065E1A"/>
    <w:rsid w:val="000713B6"/>
    <w:rsid w:val="00073CAE"/>
    <w:rsid w:val="000763A2"/>
    <w:rsid w:val="00077E5F"/>
    <w:rsid w:val="0008036A"/>
    <w:rsid w:val="00081AE6"/>
    <w:rsid w:val="00083EAD"/>
    <w:rsid w:val="000855EB"/>
    <w:rsid w:val="00085B52"/>
    <w:rsid w:val="000866F2"/>
    <w:rsid w:val="0009009F"/>
    <w:rsid w:val="0009132F"/>
    <w:rsid w:val="00091557"/>
    <w:rsid w:val="000924C1"/>
    <w:rsid w:val="000924F0"/>
    <w:rsid w:val="00092F3F"/>
    <w:rsid w:val="00093474"/>
    <w:rsid w:val="00094A39"/>
    <w:rsid w:val="0009510F"/>
    <w:rsid w:val="000A13E8"/>
    <w:rsid w:val="000A1B7B"/>
    <w:rsid w:val="000A275B"/>
    <w:rsid w:val="000A4542"/>
    <w:rsid w:val="000A56F2"/>
    <w:rsid w:val="000A77A9"/>
    <w:rsid w:val="000B2719"/>
    <w:rsid w:val="000B3A8F"/>
    <w:rsid w:val="000B40C7"/>
    <w:rsid w:val="000B4AB9"/>
    <w:rsid w:val="000B58C3"/>
    <w:rsid w:val="000B5DF2"/>
    <w:rsid w:val="000B61E9"/>
    <w:rsid w:val="000C165A"/>
    <w:rsid w:val="000C17D5"/>
    <w:rsid w:val="000C2E19"/>
    <w:rsid w:val="000C472A"/>
    <w:rsid w:val="000D0D07"/>
    <w:rsid w:val="000D1AFB"/>
    <w:rsid w:val="000D412B"/>
    <w:rsid w:val="000D4797"/>
    <w:rsid w:val="000D6601"/>
    <w:rsid w:val="000D7112"/>
    <w:rsid w:val="000D7B57"/>
    <w:rsid w:val="000E0527"/>
    <w:rsid w:val="000E1E92"/>
    <w:rsid w:val="000E3256"/>
    <w:rsid w:val="000E7085"/>
    <w:rsid w:val="000F06D6"/>
    <w:rsid w:val="000F0EB1"/>
    <w:rsid w:val="000F1106"/>
    <w:rsid w:val="000F270E"/>
    <w:rsid w:val="000F2B94"/>
    <w:rsid w:val="000F30BF"/>
    <w:rsid w:val="000F339A"/>
    <w:rsid w:val="000F3BE9"/>
    <w:rsid w:val="000F3F6C"/>
    <w:rsid w:val="000F49B3"/>
    <w:rsid w:val="000F6DF3"/>
    <w:rsid w:val="001005FF"/>
    <w:rsid w:val="00102A00"/>
    <w:rsid w:val="001037F2"/>
    <w:rsid w:val="001062FB"/>
    <w:rsid w:val="001063E6"/>
    <w:rsid w:val="00113CF4"/>
    <w:rsid w:val="001153EA"/>
    <w:rsid w:val="00115602"/>
    <w:rsid w:val="00115643"/>
    <w:rsid w:val="00116765"/>
    <w:rsid w:val="00121876"/>
    <w:rsid w:val="001219F5"/>
    <w:rsid w:val="00121A20"/>
    <w:rsid w:val="0012377F"/>
    <w:rsid w:val="00123808"/>
    <w:rsid w:val="00124314"/>
    <w:rsid w:val="0012451C"/>
    <w:rsid w:val="0012661E"/>
    <w:rsid w:val="00126B4A"/>
    <w:rsid w:val="00132FD0"/>
    <w:rsid w:val="0013327E"/>
    <w:rsid w:val="0013346B"/>
    <w:rsid w:val="00133A13"/>
    <w:rsid w:val="001344C0"/>
    <w:rsid w:val="001346FA"/>
    <w:rsid w:val="00135252"/>
    <w:rsid w:val="00137AB5"/>
    <w:rsid w:val="00137F0B"/>
    <w:rsid w:val="00141F2A"/>
    <w:rsid w:val="0015154F"/>
    <w:rsid w:val="00151E23"/>
    <w:rsid w:val="001526E0"/>
    <w:rsid w:val="00154688"/>
    <w:rsid w:val="001551B5"/>
    <w:rsid w:val="00156414"/>
    <w:rsid w:val="001618C2"/>
    <w:rsid w:val="001659C1"/>
    <w:rsid w:val="00166A5C"/>
    <w:rsid w:val="00170FE2"/>
    <w:rsid w:val="00173958"/>
    <w:rsid w:val="00173A8E"/>
    <w:rsid w:val="0017502C"/>
    <w:rsid w:val="00180852"/>
    <w:rsid w:val="0018143F"/>
    <w:rsid w:val="00181FF8"/>
    <w:rsid w:val="00185508"/>
    <w:rsid w:val="00186530"/>
    <w:rsid w:val="00187A14"/>
    <w:rsid w:val="00190AC1"/>
    <w:rsid w:val="0019341A"/>
    <w:rsid w:val="001954D2"/>
    <w:rsid w:val="00197DF9"/>
    <w:rsid w:val="001A1987"/>
    <w:rsid w:val="001A2564"/>
    <w:rsid w:val="001A6173"/>
    <w:rsid w:val="001A6CBA"/>
    <w:rsid w:val="001A7B10"/>
    <w:rsid w:val="001B0D97"/>
    <w:rsid w:val="001B5A5D"/>
    <w:rsid w:val="001C0312"/>
    <w:rsid w:val="001C0886"/>
    <w:rsid w:val="001C1A6E"/>
    <w:rsid w:val="001C1CE5"/>
    <w:rsid w:val="001C3D2A"/>
    <w:rsid w:val="001C62D2"/>
    <w:rsid w:val="001C66D7"/>
    <w:rsid w:val="001D1FA6"/>
    <w:rsid w:val="001D21BC"/>
    <w:rsid w:val="001D51BA"/>
    <w:rsid w:val="001D53E7"/>
    <w:rsid w:val="001D6342"/>
    <w:rsid w:val="001D6D53"/>
    <w:rsid w:val="001E26AC"/>
    <w:rsid w:val="001E29F2"/>
    <w:rsid w:val="001E4037"/>
    <w:rsid w:val="001E54F7"/>
    <w:rsid w:val="001E58E2"/>
    <w:rsid w:val="001E67D8"/>
    <w:rsid w:val="001E7AED"/>
    <w:rsid w:val="001F3916"/>
    <w:rsid w:val="001F4703"/>
    <w:rsid w:val="001F54C5"/>
    <w:rsid w:val="001F662C"/>
    <w:rsid w:val="001F6F15"/>
    <w:rsid w:val="001F7074"/>
    <w:rsid w:val="00200490"/>
    <w:rsid w:val="00201F3A"/>
    <w:rsid w:val="00202180"/>
    <w:rsid w:val="0020356D"/>
    <w:rsid w:val="00203F96"/>
    <w:rsid w:val="00205B85"/>
    <w:rsid w:val="002069B2"/>
    <w:rsid w:val="00207FA3"/>
    <w:rsid w:val="0021064C"/>
    <w:rsid w:val="00211EC8"/>
    <w:rsid w:val="002146A9"/>
    <w:rsid w:val="00214DA8"/>
    <w:rsid w:val="002151B6"/>
    <w:rsid w:val="00215423"/>
    <w:rsid w:val="002158FA"/>
    <w:rsid w:val="00220600"/>
    <w:rsid w:val="00221115"/>
    <w:rsid w:val="002224DB"/>
    <w:rsid w:val="00223FCB"/>
    <w:rsid w:val="002252C3"/>
    <w:rsid w:val="00225C54"/>
    <w:rsid w:val="00226955"/>
    <w:rsid w:val="00230765"/>
    <w:rsid w:val="00230D18"/>
    <w:rsid w:val="002319E4"/>
    <w:rsid w:val="00231A48"/>
    <w:rsid w:val="0023373D"/>
    <w:rsid w:val="00235632"/>
    <w:rsid w:val="00235872"/>
    <w:rsid w:val="00241559"/>
    <w:rsid w:val="00242514"/>
    <w:rsid w:val="00242556"/>
    <w:rsid w:val="0024258D"/>
    <w:rsid w:val="002435B3"/>
    <w:rsid w:val="00244F37"/>
    <w:rsid w:val="002458EB"/>
    <w:rsid w:val="002500C8"/>
    <w:rsid w:val="0025344C"/>
    <w:rsid w:val="002555E3"/>
    <w:rsid w:val="00256E3D"/>
    <w:rsid w:val="00257543"/>
    <w:rsid w:val="00260AA5"/>
    <w:rsid w:val="002617E7"/>
    <w:rsid w:val="00263E15"/>
    <w:rsid w:val="00264228"/>
    <w:rsid w:val="00264334"/>
    <w:rsid w:val="0026473E"/>
    <w:rsid w:val="00265FC1"/>
    <w:rsid w:val="00266214"/>
    <w:rsid w:val="00267C83"/>
    <w:rsid w:val="00270C22"/>
    <w:rsid w:val="0027144F"/>
    <w:rsid w:val="00271813"/>
    <w:rsid w:val="00271F3A"/>
    <w:rsid w:val="00273270"/>
    <w:rsid w:val="00273278"/>
    <w:rsid w:val="002737F4"/>
    <w:rsid w:val="002805F5"/>
    <w:rsid w:val="00280751"/>
    <w:rsid w:val="0028280A"/>
    <w:rsid w:val="0028283B"/>
    <w:rsid w:val="00286ACD"/>
    <w:rsid w:val="002872FA"/>
    <w:rsid w:val="00287838"/>
    <w:rsid w:val="002907B5"/>
    <w:rsid w:val="002925D5"/>
    <w:rsid w:val="00292EB7"/>
    <w:rsid w:val="002947A6"/>
    <w:rsid w:val="00296227"/>
    <w:rsid w:val="00296DEC"/>
    <w:rsid w:val="00296F44"/>
    <w:rsid w:val="0029777D"/>
    <w:rsid w:val="002A055E"/>
    <w:rsid w:val="002A169E"/>
    <w:rsid w:val="002A1D4E"/>
    <w:rsid w:val="002A2869"/>
    <w:rsid w:val="002B24D6"/>
    <w:rsid w:val="002B6471"/>
    <w:rsid w:val="002C41E6"/>
    <w:rsid w:val="002C5E6C"/>
    <w:rsid w:val="002D071A"/>
    <w:rsid w:val="002D34B2"/>
    <w:rsid w:val="002D48B0"/>
    <w:rsid w:val="002D5B37"/>
    <w:rsid w:val="002D6102"/>
    <w:rsid w:val="002D6333"/>
    <w:rsid w:val="002D6EB9"/>
    <w:rsid w:val="002D7637"/>
    <w:rsid w:val="002E17F2"/>
    <w:rsid w:val="002E24EA"/>
    <w:rsid w:val="002E47EF"/>
    <w:rsid w:val="002E7498"/>
    <w:rsid w:val="002E7CAE"/>
    <w:rsid w:val="002E7D3E"/>
    <w:rsid w:val="002F2771"/>
    <w:rsid w:val="002F37A9"/>
    <w:rsid w:val="002F5BB8"/>
    <w:rsid w:val="00301A2D"/>
    <w:rsid w:val="00301CE6"/>
    <w:rsid w:val="0030256B"/>
    <w:rsid w:val="00302915"/>
    <w:rsid w:val="0030501F"/>
    <w:rsid w:val="00307BA1"/>
    <w:rsid w:val="00311702"/>
    <w:rsid w:val="00311E82"/>
    <w:rsid w:val="00313FD6"/>
    <w:rsid w:val="003143BD"/>
    <w:rsid w:val="00315363"/>
    <w:rsid w:val="00315C8C"/>
    <w:rsid w:val="003203ED"/>
    <w:rsid w:val="00322C9F"/>
    <w:rsid w:val="00324D23"/>
    <w:rsid w:val="00331751"/>
    <w:rsid w:val="003339E3"/>
    <w:rsid w:val="00334579"/>
    <w:rsid w:val="00334944"/>
    <w:rsid w:val="00335858"/>
    <w:rsid w:val="00336999"/>
    <w:rsid w:val="00336BDA"/>
    <w:rsid w:val="003370B6"/>
    <w:rsid w:val="00342BD7"/>
    <w:rsid w:val="00346DB5"/>
    <w:rsid w:val="003471CF"/>
    <w:rsid w:val="003477B1"/>
    <w:rsid w:val="00357380"/>
    <w:rsid w:val="00357892"/>
    <w:rsid w:val="00357CE4"/>
    <w:rsid w:val="003602D9"/>
    <w:rsid w:val="003604CE"/>
    <w:rsid w:val="003642F8"/>
    <w:rsid w:val="00366CEE"/>
    <w:rsid w:val="00370E47"/>
    <w:rsid w:val="003738D9"/>
    <w:rsid w:val="003742AC"/>
    <w:rsid w:val="003751A9"/>
    <w:rsid w:val="00377533"/>
    <w:rsid w:val="00377584"/>
    <w:rsid w:val="00377CE1"/>
    <w:rsid w:val="003822D2"/>
    <w:rsid w:val="00383507"/>
    <w:rsid w:val="00385BF0"/>
    <w:rsid w:val="003862EF"/>
    <w:rsid w:val="003906C0"/>
    <w:rsid w:val="003912C3"/>
    <w:rsid w:val="003920FB"/>
    <w:rsid w:val="003939FF"/>
    <w:rsid w:val="00394BA6"/>
    <w:rsid w:val="003A2223"/>
    <w:rsid w:val="003A2A0F"/>
    <w:rsid w:val="003A45A1"/>
    <w:rsid w:val="003A5B0A"/>
    <w:rsid w:val="003A6BAC"/>
    <w:rsid w:val="003A6D97"/>
    <w:rsid w:val="003A70A4"/>
    <w:rsid w:val="003A70B3"/>
    <w:rsid w:val="003A7757"/>
    <w:rsid w:val="003A7EF3"/>
    <w:rsid w:val="003B01AF"/>
    <w:rsid w:val="003B0638"/>
    <w:rsid w:val="003B159C"/>
    <w:rsid w:val="003B369F"/>
    <w:rsid w:val="003B36A3"/>
    <w:rsid w:val="003B3C80"/>
    <w:rsid w:val="003B64BB"/>
    <w:rsid w:val="003B7FE5"/>
    <w:rsid w:val="003C11C8"/>
    <w:rsid w:val="003C20E3"/>
    <w:rsid w:val="003C2702"/>
    <w:rsid w:val="003C43D6"/>
    <w:rsid w:val="003C7806"/>
    <w:rsid w:val="003D0412"/>
    <w:rsid w:val="003D109F"/>
    <w:rsid w:val="003D2478"/>
    <w:rsid w:val="003D3C45"/>
    <w:rsid w:val="003D3F32"/>
    <w:rsid w:val="003D5B1F"/>
    <w:rsid w:val="003E15FA"/>
    <w:rsid w:val="003E3D98"/>
    <w:rsid w:val="003E4C28"/>
    <w:rsid w:val="003E55E4"/>
    <w:rsid w:val="003E5924"/>
    <w:rsid w:val="003E74E3"/>
    <w:rsid w:val="003F05C7"/>
    <w:rsid w:val="003F2CD4"/>
    <w:rsid w:val="003F3F6A"/>
    <w:rsid w:val="003F4094"/>
    <w:rsid w:val="003F5AFC"/>
    <w:rsid w:val="003F6BBE"/>
    <w:rsid w:val="004000E8"/>
    <w:rsid w:val="00400B50"/>
    <w:rsid w:val="0040244F"/>
    <w:rsid w:val="004027A8"/>
    <w:rsid w:val="00402E2B"/>
    <w:rsid w:val="00403F79"/>
    <w:rsid w:val="0040512B"/>
    <w:rsid w:val="00405CA5"/>
    <w:rsid w:val="00406DED"/>
    <w:rsid w:val="00407CD3"/>
    <w:rsid w:val="00410134"/>
    <w:rsid w:val="00410B72"/>
    <w:rsid w:val="00410F18"/>
    <w:rsid w:val="0041263E"/>
    <w:rsid w:val="00412F6C"/>
    <w:rsid w:val="00413AAC"/>
    <w:rsid w:val="00413E92"/>
    <w:rsid w:val="00421105"/>
    <w:rsid w:val="00422AA4"/>
    <w:rsid w:val="00422F6F"/>
    <w:rsid w:val="004231CD"/>
    <w:rsid w:val="004234F5"/>
    <w:rsid w:val="00423863"/>
    <w:rsid w:val="004242F4"/>
    <w:rsid w:val="00427248"/>
    <w:rsid w:val="0043102E"/>
    <w:rsid w:val="00431CBA"/>
    <w:rsid w:val="00432DF0"/>
    <w:rsid w:val="004340A1"/>
    <w:rsid w:val="00434AD7"/>
    <w:rsid w:val="0043511D"/>
    <w:rsid w:val="004360C8"/>
    <w:rsid w:val="00437447"/>
    <w:rsid w:val="00441A92"/>
    <w:rsid w:val="004420FA"/>
    <w:rsid w:val="004431DC"/>
    <w:rsid w:val="004444F0"/>
    <w:rsid w:val="00444F56"/>
    <w:rsid w:val="00446488"/>
    <w:rsid w:val="004508B7"/>
    <w:rsid w:val="004517AA"/>
    <w:rsid w:val="00452CAC"/>
    <w:rsid w:val="00453D29"/>
    <w:rsid w:val="00453FE3"/>
    <w:rsid w:val="00457565"/>
    <w:rsid w:val="00457B71"/>
    <w:rsid w:val="00461CB5"/>
    <w:rsid w:val="00462721"/>
    <w:rsid w:val="004637A7"/>
    <w:rsid w:val="004657DA"/>
    <w:rsid w:val="004669E2"/>
    <w:rsid w:val="00470C31"/>
    <w:rsid w:val="00471DE0"/>
    <w:rsid w:val="004734D0"/>
    <w:rsid w:val="0047556B"/>
    <w:rsid w:val="004768FD"/>
    <w:rsid w:val="00476F37"/>
    <w:rsid w:val="00477768"/>
    <w:rsid w:val="00480B28"/>
    <w:rsid w:val="004840BE"/>
    <w:rsid w:val="004857FD"/>
    <w:rsid w:val="004875CF"/>
    <w:rsid w:val="00492BC5"/>
    <w:rsid w:val="0049370C"/>
    <w:rsid w:val="00493FC1"/>
    <w:rsid w:val="004947C1"/>
    <w:rsid w:val="004954F7"/>
    <w:rsid w:val="004964F1"/>
    <w:rsid w:val="00496B5E"/>
    <w:rsid w:val="00496CFA"/>
    <w:rsid w:val="0049793E"/>
    <w:rsid w:val="004A16BC"/>
    <w:rsid w:val="004A178B"/>
    <w:rsid w:val="004A24EA"/>
    <w:rsid w:val="004A2B94"/>
    <w:rsid w:val="004B5CD9"/>
    <w:rsid w:val="004B6F05"/>
    <w:rsid w:val="004B6F6A"/>
    <w:rsid w:val="004B7C0C"/>
    <w:rsid w:val="004C3898"/>
    <w:rsid w:val="004C4DF5"/>
    <w:rsid w:val="004C6866"/>
    <w:rsid w:val="004D36B1"/>
    <w:rsid w:val="004D7EBD"/>
    <w:rsid w:val="004E2680"/>
    <w:rsid w:val="004E28F9"/>
    <w:rsid w:val="004E3A51"/>
    <w:rsid w:val="004E404A"/>
    <w:rsid w:val="004E462E"/>
    <w:rsid w:val="004E56DC"/>
    <w:rsid w:val="004E59E1"/>
    <w:rsid w:val="004E76F4"/>
    <w:rsid w:val="004F0B4E"/>
    <w:rsid w:val="004F0B6C"/>
    <w:rsid w:val="004F2078"/>
    <w:rsid w:val="004F4DA3"/>
    <w:rsid w:val="004F54F9"/>
    <w:rsid w:val="004F650E"/>
    <w:rsid w:val="004F69A1"/>
    <w:rsid w:val="00501184"/>
    <w:rsid w:val="00506374"/>
    <w:rsid w:val="00506557"/>
    <w:rsid w:val="0050677A"/>
    <w:rsid w:val="00506F80"/>
    <w:rsid w:val="005108D8"/>
    <w:rsid w:val="005116F9"/>
    <w:rsid w:val="005153A7"/>
    <w:rsid w:val="005167F6"/>
    <w:rsid w:val="005219CF"/>
    <w:rsid w:val="00526A25"/>
    <w:rsid w:val="005307A6"/>
    <w:rsid w:val="00531E21"/>
    <w:rsid w:val="00532FF8"/>
    <w:rsid w:val="00534B59"/>
    <w:rsid w:val="00536759"/>
    <w:rsid w:val="00537C62"/>
    <w:rsid w:val="00541568"/>
    <w:rsid w:val="005426EA"/>
    <w:rsid w:val="005447F8"/>
    <w:rsid w:val="00545B23"/>
    <w:rsid w:val="00546970"/>
    <w:rsid w:val="00551000"/>
    <w:rsid w:val="00554710"/>
    <w:rsid w:val="00554E19"/>
    <w:rsid w:val="00554ECD"/>
    <w:rsid w:val="0056121F"/>
    <w:rsid w:val="00572505"/>
    <w:rsid w:val="00574C02"/>
    <w:rsid w:val="00575B27"/>
    <w:rsid w:val="0058179D"/>
    <w:rsid w:val="0058229C"/>
    <w:rsid w:val="00582809"/>
    <w:rsid w:val="00583C7D"/>
    <w:rsid w:val="00584C84"/>
    <w:rsid w:val="00587565"/>
    <w:rsid w:val="0058798C"/>
    <w:rsid w:val="005900FA"/>
    <w:rsid w:val="005935A4"/>
    <w:rsid w:val="005948C2"/>
    <w:rsid w:val="00595DCA"/>
    <w:rsid w:val="0059779B"/>
    <w:rsid w:val="005A209A"/>
    <w:rsid w:val="005A64E9"/>
    <w:rsid w:val="005A662D"/>
    <w:rsid w:val="005B00A0"/>
    <w:rsid w:val="005B1409"/>
    <w:rsid w:val="005B2027"/>
    <w:rsid w:val="005B21DB"/>
    <w:rsid w:val="005B25CF"/>
    <w:rsid w:val="005B35D7"/>
    <w:rsid w:val="005B392A"/>
    <w:rsid w:val="005B3AA3"/>
    <w:rsid w:val="005B3BAF"/>
    <w:rsid w:val="005B4D1C"/>
    <w:rsid w:val="005B62FF"/>
    <w:rsid w:val="005B6F83"/>
    <w:rsid w:val="005C33FD"/>
    <w:rsid w:val="005C36E7"/>
    <w:rsid w:val="005C3F8B"/>
    <w:rsid w:val="005C74FB"/>
    <w:rsid w:val="005C7AD7"/>
    <w:rsid w:val="005D1602"/>
    <w:rsid w:val="005D6661"/>
    <w:rsid w:val="005E0AF8"/>
    <w:rsid w:val="005E329E"/>
    <w:rsid w:val="005E385F"/>
    <w:rsid w:val="005E5B81"/>
    <w:rsid w:val="005E6C33"/>
    <w:rsid w:val="005F2CB1"/>
    <w:rsid w:val="005F3025"/>
    <w:rsid w:val="005F618C"/>
    <w:rsid w:val="005F70BD"/>
    <w:rsid w:val="005F74C9"/>
    <w:rsid w:val="0060283C"/>
    <w:rsid w:val="00602DAE"/>
    <w:rsid w:val="00604F14"/>
    <w:rsid w:val="00611B83"/>
    <w:rsid w:val="00613257"/>
    <w:rsid w:val="006174CE"/>
    <w:rsid w:val="00617910"/>
    <w:rsid w:val="00620A71"/>
    <w:rsid w:val="00620D80"/>
    <w:rsid w:val="00621800"/>
    <w:rsid w:val="006234A6"/>
    <w:rsid w:val="00626122"/>
    <w:rsid w:val="00627DBA"/>
    <w:rsid w:val="00630001"/>
    <w:rsid w:val="006311B3"/>
    <w:rsid w:val="0063284C"/>
    <w:rsid w:val="006338F9"/>
    <w:rsid w:val="00636398"/>
    <w:rsid w:val="006368D3"/>
    <w:rsid w:val="006377EC"/>
    <w:rsid w:val="0064151F"/>
    <w:rsid w:val="00641533"/>
    <w:rsid w:val="0064208D"/>
    <w:rsid w:val="006426D3"/>
    <w:rsid w:val="00643475"/>
    <w:rsid w:val="0064396A"/>
    <w:rsid w:val="0064624E"/>
    <w:rsid w:val="00650AB9"/>
    <w:rsid w:val="00655733"/>
    <w:rsid w:val="00655ACD"/>
    <w:rsid w:val="006562AB"/>
    <w:rsid w:val="00656A92"/>
    <w:rsid w:val="00656DAF"/>
    <w:rsid w:val="00656DDE"/>
    <w:rsid w:val="0066011D"/>
    <w:rsid w:val="006607C0"/>
    <w:rsid w:val="006612D3"/>
    <w:rsid w:val="006613A6"/>
    <w:rsid w:val="006627A2"/>
    <w:rsid w:val="006634E6"/>
    <w:rsid w:val="006655EE"/>
    <w:rsid w:val="00667EE7"/>
    <w:rsid w:val="00670922"/>
    <w:rsid w:val="00670BE1"/>
    <w:rsid w:val="0067218F"/>
    <w:rsid w:val="006726DB"/>
    <w:rsid w:val="00673624"/>
    <w:rsid w:val="006741F2"/>
    <w:rsid w:val="00674CC3"/>
    <w:rsid w:val="00675C72"/>
    <w:rsid w:val="00676A6C"/>
    <w:rsid w:val="006771F9"/>
    <w:rsid w:val="006776D7"/>
    <w:rsid w:val="00677D6B"/>
    <w:rsid w:val="00681003"/>
    <w:rsid w:val="006817C9"/>
    <w:rsid w:val="0068223E"/>
    <w:rsid w:val="00683ECE"/>
    <w:rsid w:val="0068549C"/>
    <w:rsid w:val="00685615"/>
    <w:rsid w:val="006859C9"/>
    <w:rsid w:val="006901E1"/>
    <w:rsid w:val="006904B4"/>
    <w:rsid w:val="00692A29"/>
    <w:rsid w:val="00695FC2"/>
    <w:rsid w:val="0069634B"/>
    <w:rsid w:val="00696949"/>
    <w:rsid w:val="00697052"/>
    <w:rsid w:val="00697D00"/>
    <w:rsid w:val="006A2D1A"/>
    <w:rsid w:val="006A38CD"/>
    <w:rsid w:val="006A419C"/>
    <w:rsid w:val="006A46FB"/>
    <w:rsid w:val="006A5E28"/>
    <w:rsid w:val="006A65C4"/>
    <w:rsid w:val="006A697B"/>
    <w:rsid w:val="006A7AFF"/>
    <w:rsid w:val="006B08F0"/>
    <w:rsid w:val="006B1816"/>
    <w:rsid w:val="006B2099"/>
    <w:rsid w:val="006B4E0E"/>
    <w:rsid w:val="006B50CF"/>
    <w:rsid w:val="006B77C1"/>
    <w:rsid w:val="006C03B8"/>
    <w:rsid w:val="006C31C8"/>
    <w:rsid w:val="006C5B76"/>
    <w:rsid w:val="006C5EC9"/>
    <w:rsid w:val="006C6059"/>
    <w:rsid w:val="006C6C74"/>
    <w:rsid w:val="006C7522"/>
    <w:rsid w:val="006D6F08"/>
    <w:rsid w:val="006D6FFF"/>
    <w:rsid w:val="006D7C06"/>
    <w:rsid w:val="006E062C"/>
    <w:rsid w:val="006E1C82"/>
    <w:rsid w:val="006E28B7"/>
    <w:rsid w:val="006E2A9B"/>
    <w:rsid w:val="006E3310"/>
    <w:rsid w:val="006E4E39"/>
    <w:rsid w:val="006E565E"/>
    <w:rsid w:val="006E673D"/>
    <w:rsid w:val="006E7D3B"/>
    <w:rsid w:val="006F1B70"/>
    <w:rsid w:val="006F1C96"/>
    <w:rsid w:val="006F341D"/>
    <w:rsid w:val="006F35E8"/>
    <w:rsid w:val="006F3CDE"/>
    <w:rsid w:val="006F58D4"/>
    <w:rsid w:val="006F5B6B"/>
    <w:rsid w:val="006F6582"/>
    <w:rsid w:val="007016EE"/>
    <w:rsid w:val="0070346E"/>
    <w:rsid w:val="00704EDB"/>
    <w:rsid w:val="00706101"/>
    <w:rsid w:val="00707072"/>
    <w:rsid w:val="00707D61"/>
    <w:rsid w:val="00712287"/>
    <w:rsid w:val="00712772"/>
    <w:rsid w:val="0071346F"/>
    <w:rsid w:val="007145AE"/>
    <w:rsid w:val="007148D3"/>
    <w:rsid w:val="00715B9A"/>
    <w:rsid w:val="00720569"/>
    <w:rsid w:val="00720DDB"/>
    <w:rsid w:val="00721A08"/>
    <w:rsid w:val="00721B3F"/>
    <w:rsid w:val="00723001"/>
    <w:rsid w:val="00723C78"/>
    <w:rsid w:val="007257D0"/>
    <w:rsid w:val="00726C92"/>
    <w:rsid w:val="00726EA6"/>
    <w:rsid w:val="00727208"/>
    <w:rsid w:val="00727680"/>
    <w:rsid w:val="00730C4B"/>
    <w:rsid w:val="0073254D"/>
    <w:rsid w:val="007348B1"/>
    <w:rsid w:val="007354E2"/>
    <w:rsid w:val="00735BAB"/>
    <w:rsid w:val="007362A6"/>
    <w:rsid w:val="00736D7D"/>
    <w:rsid w:val="00740E58"/>
    <w:rsid w:val="00742633"/>
    <w:rsid w:val="007435CB"/>
    <w:rsid w:val="007445A0"/>
    <w:rsid w:val="0074524B"/>
    <w:rsid w:val="00747D8B"/>
    <w:rsid w:val="00751228"/>
    <w:rsid w:val="007561C0"/>
    <w:rsid w:val="007571E1"/>
    <w:rsid w:val="007579AE"/>
    <w:rsid w:val="00757A16"/>
    <w:rsid w:val="007604B2"/>
    <w:rsid w:val="007623DE"/>
    <w:rsid w:val="00765281"/>
    <w:rsid w:val="0076569D"/>
    <w:rsid w:val="00766BAD"/>
    <w:rsid w:val="00766EA2"/>
    <w:rsid w:val="007716E2"/>
    <w:rsid w:val="007729A2"/>
    <w:rsid w:val="007755F2"/>
    <w:rsid w:val="00776971"/>
    <w:rsid w:val="00777D3E"/>
    <w:rsid w:val="00780A80"/>
    <w:rsid w:val="0078177E"/>
    <w:rsid w:val="0078304C"/>
    <w:rsid w:val="00783673"/>
    <w:rsid w:val="00785490"/>
    <w:rsid w:val="00786AE7"/>
    <w:rsid w:val="00790293"/>
    <w:rsid w:val="00791415"/>
    <w:rsid w:val="007925EA"/>
    <w:rsid w:val="00793CD8"/>
    <w:rsid w:val="00793E97"/>
    <w:rsid w:val="0079415C"/>
    <w:rsid w:val="00794934"/>
    <w:rsid w:val="00795C92"/>
    <w:rsid w:val="00796231"/>
    <w:rsid w:val="007962BE"/>
    <w:rsid w:val="00797CCC"/>
    <w:rsid w:val="007A08CB"/>
    <w:rsid w:val="007A1CB3"/>
    <w:rsid w:val="007A2347"/>
    <w:rsid w:val="007A306F"/>
    <w:rsid w:val="007A43A6"/>
    <w:rsid w:val="007A58A6"/>
    <w:rsid w:val="007B3D2D"/>
    <w:rsid w:val="007B50AE"/>
    <w:rsid w:val="007B51DF"/>
    <w:rsid w:val="007B7F2F"/>
    <w:rsid w:val="007C05DD"/>
    <w:rsid w:val="007C1503"/>
    <w:rsid w:val="007C349C"/>
    <w:rsid w:val="007C3D18"/>
    <w:rsid w:val="007C58F4"/>
    <w:rsid w:val="007C60BF"/>
    <w:rsid w:val="007C6A07"/>
    <w:rsid w:val="007C75A1"/>
    <w:rsid w:val="007C7768"/>
    <w:rsid w:val="007C77A5"/>
    <w:rsid w:val="007D04E5"/>
    <w:rsid w:val="007D2E03"/>
    <w:rsid w:val="007D3507"/>
    <w:rsid w:val="007D443D"/>
    <w:rsid w:val="007D5901"/>
    <w:rsid w:val="007D6BA0"/>
    <w:rsid w:val="007D7526"/>
    <w:rsid w:val="007E3871"/>
    <w:rsid w:val="007E4610"/>
    <w:rsid w:val="007E4715"/>
    <w:rsid w:val="007E505B"/>
    <w:rsid w:val="007E7091"/>
    <w:rsid w:val="007F1BB6"/>
    <w:rsid w:val="007F2808"/>
    <w:rsid w:val="007F6A2E"/>
    <w:rsid w:val="00802D48"/>
    <w:rsid w:val="0080331A"/>
    <w:rsid w:val="00803FAE"/>
    <w:rsid w:val="0080605F"/>
    <w:rsid w:val="00807786"/>
    <w:rsid w:val="00810E6F"/>
    <w:rsid w:val="00811FCB"/>
    <w:rsid w:val="008141E3"/>
    <w:rsid w:val="008146B1"/>
    <w:rsid w:val="008158D6"/>
    <w:rsid w:val="00817196"/>
    <w:rsid w:val="008203F5"/>
    <w:rsid w:val="008204A6"/>
    <w:rsid w:val="00822F3B"/>
    <w:rsid w:val="008235DB"/>
    <w:rsid w:val="00824AB4"/>
    <w:rsid w:val="00825C42"/>
    <w:rsid w:val="00825D25"/>
    <w:rsid w:val="00827D6F"/>
    <w:rsid w:val="00833CE7"/>
    <w:rsid w:val="0083680F"/>
    <w:rsid w:val="008376AC"/>
    <w:rsid w:val="00837C41"/>
    <w:rsid w:val="00842BC5"/>
    <w:rsid w:val="008444E8"/>
    <w:rsid w:val="00844E80"/>
    <w:rsid w:val="00846FE7"/>
    <w:rsid w:val="00847E00"/>
    <w:rsid w:val="00852414"/>
    <w:rsid w:val="0085287F"/>
    <w:rsid w:val="008554E7"/>
    <w:rsid w:val="0085679D"/>
    <w:rsid w:val="00856911"/>
    <w:rsid w:val="008600E9"/>
    <w:rsid w:val="0086333D"/>
    <w:rsid w:val="008677FD"/>
    <w:rsid w:val="008706D4"/>
    <w:rsid w:val="00870925"/>
    <w:rsid w:val="00870B17"/>
    <w:rsid w:val="00870F8A"/>
    <w:rsid w:val="008719A4"/>
    <w:rsid w:val="00871D23"/>
    <w:rsid w:val="00874312"/>
    <w:rsid w:val="0087437C"/>
    <w:rsid w:val="00874BA7"/>
    <w:rsid w:val="00874EBF"/>
    <w:rsid w:val="008759BD"/>
    <w:rsid w:val="00875C82"/>
    <w:rsid w:val="00875CC9"/>
    <w:rsid w:val="00875CD7"/>
    <w:rsid w:val="008769B2"/>
    <w:rsid w:val="00876B4D"/>
    <w:rsid w:val="008770B3"/>
    <w:rsid w:val="00877549"/>
    <w:rsid w:val="00877F18"/>
    <w:rsid w:val="00880EBC"/>
    <w:rsid w:val="00881CE8"/>
    <w:rsid w:val="00884CCD"/>
    <w:rsid w:val="008921B6"/>
    <w:rsid w:val="008941E3"/>
    <w:rsid w:val="008945F3"/>
    <w:rsid w:val="00894A88"/>
    <w:rsid w:val="00895386"/>
    <w:rsid w:val="00896D7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60"/>
    <w:rsid w:val="008D00A5"/>
    <w:rsid w:val="008D0F4C"/>
    <w:rsid w:val="008D1DAF"/>
    <w:rsid w:val="008D2B14"/>
    <w:rsid w:val="008D2BC8"/>
    <w:rsid w:val="008D34F1"/>
    <w:rsid w:val="008D39D8"/>
    <w:rsid w:val="008D4175"/>
    <w:rsid w:val="008D6D1A"/>
    <w:rsid w:val="008E065E"/>
    <w:rsid w:val="008E0927"/>
    <w:rsid w:val="008E18EF"/>
    <w:rsid w:val="008E1909"/>
    <w:rsid w:val="008E1A1B"/>
    <w:rsid w:val="008E477E"/>
    <w:rsid w:val="008F1EAB"/>
    <w:rsid w:val="008F33DC"/>
    <w:rsid w:val="008F477F"/>
    <w:rsid w:val="00900DD9"/>
    <w:rsid w:val="00902350"/>
    <w:rsid w:val="009032AA"/>
    <w:rsid w:val="0090336B"/>
    <w:rsid w:val="00903BBC"/>
    <w:rsid w:val="009053AA"/>
    <w:rsid w:val="00906939"/>
    <w:rsid w:val="00910B7D"/>
    <w:rsid w:val="00910CDF"/>
    <w:rsid w:val="009114BA"/>
    <w:rsid w:val="00911DFB"/>
    <w:rsid w:val="00912D42"/>
    <w:rsid w:val="009139D9"/>
    <w:rsid w:val="00914164"/>
    <w:rsid w:val="00914AD8"/>
    <w:rsid w:val="00916079"/>
    <w:rsid w:val="00916F65"/>
    <w:rsid w:val="00917CE9"/>
    <w:rsid w:val="00920BF2"/>
    <w:rsid w:val="00920FDC"/>
    <w:rsid w:val="00922010"/>
    <w:rsid w:val="0092449D"/>
    <w:rsid w:val="009265C0"/>
    <w:rsid w:val="0092786D"/>
    <w:rsid w:val="00931BD9"/>
    <w:rsid w:val="009324CF"/>
    <w:rsid w:val="00935AC4"/>
    <w:rsid w:val="009368F3"/>
    <w:rsid w:val="00941636"/>
    <w:rsid w:val="00943742"/>
    <w:rsid w:val="009438EF"/>
    <w:rsid w:val="00943FD9"/>
    <w:rsid w:val="00945C05"/>
    <w:rsid w:val="00946945"/>
    <w:rsid w:val="0094740B"/>
    <w:rsid w:val="00947713"/>
    <w:rsid w:val="00950DE7"/>
    <w:rsid w:val="00953920"/>
    <w:rsid w:val="00953D47"/>
    <w:rsid w:val="0095681E"/>
    <w:rsid w:val="009572D4"/>
    <w:rsid w:val="00961921"/>
    <w:rsid w:val="0096430A"/>
    <w:rsid w:val="0096554B"/>
    <w:rsid w:val="0096584A"/>
    <w:rsid w:val="00966DBA"/>
    <w:rsid w:val="00971F08"/>
    <w:rsid w:val="00974EDC"/>
    <w:rsid w:val="00975E6C"/>
    <w:rsid w:val="0097603D"/>
    <w:rsid w:val="00976949"/>
    <w:rsid w:val="00980477"/>
    <w:rsid w:val="009831AA"/>
    <w:rsid w:val="00985253"/>
    <w:rsid w:val="009853B3"/>
    <w:rsid w:val="00987E39"/>
    <w:rsid w:val="00990630"/>
    <w:rsid w:val="00991761"/>
    <w:rsid w:val="00991C0A"/>
    <w:rsid w:val="00994995"/>
    <w:rsid w:val="00994DCA"/>
    <w:rsid w:val="00994FDB"/>
    <w:rsid w:val="009960EC"/>
    <w:rsid w:val="009970DD"/>
    <w:rsid w:val="00997D92"/>
    <w:rsid w:val="009A0267"/>
    <w:rsid w:val="009A0FBA"/>
    <w:rsid w:val="009A1601"/>
    <w:rsid w:val="009A2929"/>
    <w:rsid w:val="009A367E"/>
    <w:rsid w:val="009A3BB6"/>
    <w:rsid w:val="009A462D"/>
    <w:rsid w:val="009A5CBA"/>
    <w:rsid w:val="009B0442"/>
    <w:rsid w:val="009B1F30"/>
    <w:rsid w:val="009B3AC2"/>
    <w:rsid w:val="009B4CB3"/>
    <w:rsid w:val="009B4DF4"/>
    <w:rsid w:val="009B564E"/>
    <w:rsid w:val="009B622C"/>
    <w:rsid w:val="009B7E87"/>
    <w:rsid w:val="009C0169"/>
    <w:rsid w:val="009C403E"/>
    <w:rsid w:val="009C42AF"/>
    <w:rsid w:val="009D4FF0"/>
    <w:rsid w:val="009D703C"/>
    <w:rsid w:val="009D718F"/>
    <w:rsid w:val="009E068F"/>
    <w:rsid w:val="009E14E0"/>
    <w:rsid w:val="009E1F18"/>
    <w:rsid w:val="009E2C27"/>
    <w:rsid w:val="009E35DB"/>
    <w:rsid w:val="009E47A3"/>
    <w:rsid w:val="009E543B"/>
    <w:rsid w:val="009E6869"/>
    <w:rsid w:val="009E6FE7"/>
    <w:rsid w:val="009F08F3"/>
    <w:rsid w:val="009F2BD6"/>
    <w:rsid w:val="009F33C4"/>
    <w:rsid w:val="009F342B"/>
    <w:rsid w:val="009F344F"/>
    <w:rsid w:val="009F5F1B"/>
    <w:rsid w:val="00A02155"/>
    <w:rsid w:val="00A031D8"/>
    <w:rsid w:val="00A048A8"/>
    <w:rsid w:val="00A04F49"/>
    <w:rsid w:val="00A0610C"/>
    <w:rsid w:val="00A06D4F"/>
    <w:rsid w:val="00A0780E"/>
    <w:rsid w:val="00A10D1A"/>
    <w:rsid w:val="00A13331"/>
    <w:rsid w:val="00A13E54"/>
    <w:rsid w:val="00A17F63"/>
    <w:rsid w:val="00A2193B"/>
    <w:rsid w:val="00A2351A"/>
    <w:rsid w:val="00A236DB"/>
    <w:rsid w:val="00A23AEA"/>
    <w:rsid w:val="00A24312"/>
    <w:rsid w:val="00A264A9"/>
    <w:rsid w:val="00A266F5"/>
    <w:rsid w:val="00A26DCF"/>
    <w:rsid w:val="00A27785"/>
    <w:rsid w:val="00A30187"/>
    <w:rsid w:val="00A31298"/>
    <w:rsid w:val="00A33B0F"/>
    <w:rsid w:val="00A34116"/>
    <w:rsid w:val="00A3448A"/>
    <w:rsid w:val="00A36297"/>
    <w:rsid w:val="00A41E2B"/>
    <w:rsid w:val="00A43B26"/>
    <w:rsid w:val="00A45B74"/>
    <w:rsid w:val="00A52CDF"/>
    <w:rsid w:val="00A52E1D"/>
    <w:rsid w:val="00A56AE1"/>
    <w:rsid w:val="00A608D1"/>
    <w:rsid w:val="00A61499"/>
    <w:rsid w:val="00A6253E"/>
    <w:rsid w:val="00A62A77"/>
    <w:rsid w:val="00A63483"/>
    <w:rsid w:val="00A63530"/>
    <w:rsid w:val="00A63B54"/>
    <w:rsid w:val="00A65472"/>
    <w:rsid w:val="00A6558D"/>
    <w:rsid w:val="00A657D7"/>
    <w:rsid w:val="00A660AC"/>
    <w:rsid w:val="00A67E6C"/>
    <w:rsid w:val="00A7106A"/>
    <w:rsid w:val="00A71B99"/>
    <w:rsid w:val="00A72E41"/>
    <w:rsid w:val="00A739D0"/>
    <w:rsid w:val="00A761D4"/>
    <w:rsid w:val="00A77EC4"/>
    <w:rsid w:val="00A81DA3"/>
    <w:rsid w:val="00A82DC6"/>
    <w:rsid w:val="00A83CCE"/>
    <w:rsid w:val="00A8493D"/>
    <w:rsid w:val="00A87FF0"/>
    <w:rsid w:val="00A92879"/>
    <w:rsid w:val="00A92C7A"/>
    <w:rsid w:val="00A9442A"/>
    <w:rsid w:val="00A9498E"/>
    <w:rsid w:val="00AA0144"/>
    <w:rsid w:val="00AA016F"/>
    <w:rsid w:val="00AA0AA7"/>
    <w:rsid w:val="00AA0CAA"/>
    <w:rsid w:val="00AA1ED6"/>
    <w:rsid w:val="00AA4A43"/>
    <w:rsid w:val="00AA4A45"/>
    <w:rsid w:val="00AA51D6"/>
    <w:rsid w:val="00AB0196"/>
    <w:rsid w:val="00AB0BC8"/>
    <w:rsid w:val="00AB11CA"/>
    <w:rsid w:val="00AB14D9"/>
    <w:rsid w:val="00AB1FD6"/>
    <w:rsid w:val="00AB2A25"/>
    <w:rsid w:val="00AB2F4C"/>
    <w:rsid w:val="00AB44A6"/>
    <w:rsid w:val="00AB4AB8"/>
    <w:rsid w:val="00AB4F78"/>
    <w:rsid w:val="00AB655E"/>
    <w:rsid w:val="00AC007F"/>
    <w:rsid w:val="00AC02D3"/>
    <w:rsid w:val="00AC294E"/>
    <w:rsid w:val="00AC2ECD"/>
    <w:rsid w:val="00AC2F8E"/>
    <w:rsid w:val="00AC3119"/>
    <w:rsid w:val="00AC3B85"/>
    <w:rsid w:val="00AC49FB"/>
    <w:rsid w:val="00AC5A10"/>
    <w:rsid w:val="00AD0AA3"/>
    <w:rsid w:val="00AD3F94"/>
    <w:rsid w:val="00AD47BD"/>
    <w:rsid w:val="00AD4A5A"/>
    <w:rsid w:val="00AD62B9"/>
    <w:rsid w:val="00AD7B05"/>
    <w:rsid w:val="00AE0E13"/>
    <w:rsid w:val="00AE1656"/>
    <w:rsid w:val="00AE27AC"/>
    <w:rsid w:val="00AE3AC2"/>
    <w:rsid w:val="00AE40E0"/>
    <w:rsid w:val="00AE4DBA"/>
    <w:rsid w:val="00AE4F07"/>
    <w:rsid w:val="00AE5D75"/>
    <w:rsid w:val="00AE66D0"/>
    <w:rsid w:val="00AE6C55"/>
    <w:rsid w:val="00AF02B5"/>
    <w:rsid w:val="00AF0892"/>
    <w:rsid w:val="00AF1C5D"/>
    <w:rsid w:val="00AF3318"/>
    <w:rsid w:val="00AF3ECE"/>
    <w:rsid w:val="00AF42D7"/>
    <w:rsid w:val="00B006FE"/>
    <w:rsid w:val="00B007CB"/>
    <w:rsid w:val="00B01B8A"/>
    <w:rsid w:val="00B02AA9"/>
    <w:rsid w:val="00B02FA3"/>
    <w:rsid w:val="00B034E7"/>
    <w:rsid w:val="00B03BEB"/>
    <w:rsid w:val="00B05084"/>
    <w:rsid w:val="00B06956"/>
    <w:rsid w:val="00B157F9"/>
    <w:rsid w:val="00B20256"/>
    <w:rsid w:val="00B20D09"/>
    <w:rsid w:val="00B213BB"/>
    <w:rsid w:val="00B219BD"/>
    <w:rsid w:val="00B2763F"/>
    <w:rsid w:val="00B27AAC"/>
    <w:rsid w:val="00B30929"/>
    <w:rsid w:val="00B34CBA"/>
    <w:rsid w:val="00B355BA"/>
    <w:rsid w:val="00B358EA"/>
    <w:rsid w:val="00B36E73"/>
    <w:rsid w:val="00B372AA"/>
    <w:rsid w:val="00B40445"/>
    <w:rsid w:val="00B409E0"/>
    <w:rsid w:val="00B4128C"/>
    <w:rsid w:val="00B41888"/>
    <w:rsid w:val="00B41FEF"/>
    <w:rsid w:val="00B44B9F"/>
    <w:rsid w:val="00B45A52"/>
    <w:rsid w:val="00B46175"/>
    <w:rsid w:val="00B47C74"/>
    <w:rsid w:val="00B507AF"/>
    <w:rsid w:val="00B548B7"/>
    <w:rsid w:val="00B56EC1"/>
    <w:rsid w:val="00B6638B"/>
    <w:rsid w:val="00B664C7"/>
    <w:rsid w:val="00B66FAB"/>
    <w:rsid w:val="00B67C8C"/>
    <w:rsid w:val="00B739F6"/>
    <w:rsid w:val="00B7457D"/>
    <w:rsid w:val="00B75D54"/>
    <w:rsid w:val="00B771AD"/>
    <w:rsid w:val="00B81A6C"/>
    <w:rsid w:val="00B8580F"/>
    <w:rsid w:val="00B85DE5"/>
    <w:rsid w:val="00B86BF0"/>
    <w:rsid w:val="00B876D8"/>
    <w:rsid w:val="00B90F73"/>
    <w:rsid w:val="00B93B59"/>
    <w:rsid w:val="00B9406A"/>
    <w:rsid w:val="00BA0BD7"/>
    <w:rsid w:val="00BA1AE7"/>
    <w:rsid w:val="00BA2144"/>
    <w:rsid w:val="00BA2280"/>
    <w:rsid w:val="00BA2A08"/>
    <w:rsid w:val="00BA4797"/>
    <w:rsid w:val="00BA56D2"/>
    <w:rsid w:val="00BA7198"/>
    <w:rsid w:val="00BA76E0"/>
    <w:rsid w:val="00BB0DAC"/>
    <w:rsid w:val="00BB2A25"/>
    <w:rsid w:val="00BB31DB"/>
    <w:rsid w:val="00BB51E9"/>
    <w:rsid w:val="00BC0FDC"/>
    <w:rsid w:val="00BC3053"/>
    <w:rsid w:val="00BC3356"/>
    <w:rsid w:val="00BC44B8"/>
    <w:rsid w:val="00BC4D2E"/>
    <w:rsid w:val="00BC5E42"/>
    <w:rsid w:val="00BC7EDF"/>
    <w:rsid w:val="00BD48AC"/>
    <w:rsid w:val="00BD553E"/>
    <w:rsid w:val="00BD5F1A"/>
    <w:rsid w:val="00BE1234"/>
    <w:rsid w:val="00BE2FA6"/>
    <w:rsid w:val="00BE333F"/>
    <w:rsid w:val="00BE4B05"/>
    <w:rsid w:val="00BE6C8B"/>
    <w:rsid w:val="00BE7406"/>
    <w:rsid w:val="00BE7603"/>
    <w:rsid w:val="00BF1693"/>
    <w:rsid w:val="00BF3279"/>
    <w:rsid w:val="00BF58BD"/>
    <w:rsid w:val="00BF74C7"/>
    <w:rsid w:val="00C007B5"/>
    <w:rsid w:val="00C015F1"/>
    <w:rsid w:val="00C01F33"/>
    <w:rsid w:val="00C021D1"/>
    <w:rsid w:val="00C02609"/>
    <w:rsid w:val="00C02CC6"/>
    <w:rsid w:val="00C040F7"/>
    <w:rsid w:val="00C044AB"/>
    <w:rsid w:val="00C04CA2"/>
    <w:rsid w:val="00C05706"/>
    <w:rsid w:val="00C07377"/>
    <w:rsid w:val="00C10478"/>
    <w:rsid w:val="00C1123C"/>
    <w:rsid w:val="00C12107"/>
    <w:rsid w:val="00C14D4B"/>
    <w:rsid w:val="00C154BB"/>
    <w:rsid w:val="00C16BAD"/>
    <w:rsid w:val="00C20C85"/>
    <w:rsid w:val="00C25298"/>
    <w:rsid w:val="00C2639E"/>
    <w:rsid w:val="00C268E6"/>
    <w:rsid w:val="00C279B5"/>
    <w:rsid w:val="00C27C45"/>
    <w:rsid w:val="00C36A08"/>
    <w:rsid w:val="00C3719D"/>
    <w:rsid w:val="00C37CB2"/>
    <w:rsid w:val="00C473A5"/>
    <w:rsid w:val="00C52613"/>
    <w:rsid w:val="00C54995"/>
    <w:rsid w:val="00C54D41"/>
    <w:rsid w:val="00C5667F"/>
    <w:rsid w:val="00C56900"/>
    <w:rsid w:val="00C57420"/>
    <w:rsid w:val="00C60783"/>
    <w:rsid w:val="00C64672"/>
    <w:rsid w:val="00C66C73"/>
    <w:rsid w:val="00C70697"/>
    <w:rsid w:val="00C72093"/>
    <w:rsid w:val="00C72EF4"/>
    <w:rsid w:val="00C73C36"/>
    <w:rsid w:val="00C744FE"/>
    <w:rsid w:val="00C75D2F"/>
    <w:rsid w:val="00C767BE"/>
    <w:rsid w:val="00C76C9F"/>
    <w:rsid w:val="00C76E3C"/>
    <w:rsid w:val="00C808CD"/>
    <w:rsid w:val="00C81568"/>
    <w:rsid w:val="00C81773"/>
    <w:rsid w:val="00C873FA"/>
    <w:rsid w:val="00C9027A"/>
    <w:rsid w:val="00C9068E"/>
    <w:rsid w:val="00C92E97"/>
    <w:rsid w:val="00C93814"/>
    <w:rsid w:val="00C93C4B"/>
    <w:rsid w:val="00C944AB"/>
    <w:rsid w:val="00C95B40"/>
    <w:rsid w:val="00C95F8A"/>
    <w:rsid w:val="00CA180B"/>
    <w:rsid w:val="00CA1ED8"/>
    <w:rsid w:val="00CA558E"/>
    <w:rsid w:val="00CA74E4"/>
    <w:rsid w:val="00CB0962"/>
    <w:rsid w:val="00CB1F63"/>
    <w:rsid w:val="00CB25E7"/>
    <w:rsid w:val="00CB52AD"/>
    <w:rsid w:val="00CB6D29"/>
    <w:rsid w:val="00CB7170"/>
    <w:rsid w:val="00CC040E"/>
    <w:rsid w:val="00CC111F"/>
    <w:rsid w:val="00CC2011"/>
    <w:rsid w:val="00CC2018"/>
    <w:rsid w:val="00CC3EA0"/>
    <w:rsid w:val="00CC506B"/>
    <w:rsid w:val="00CC7080"/>
    <w:rsid w:val="00CC7B45"/>
    <w:rsid w:val="00CD1188"/>
    <w:rsid w:val="00CD263A"/>
    <w:rsid w:val="00CD2ED1"/>
    <w:rsid w:val="00CD337B"/>
    <w:rsid w:val="00CD4386"/>
    <w:rsid w:val="00CE0424"/>
    <w:rsid w:val="00CE3366"/>
    <w:rsid w:val="00CE3EA8"/>
    <w:rsid w:val="00CE5F7D"/>
    <w:rsid w:val="00CE628A"/>
    <w:rsid w:val="00CE63D4"/>
    <w:rsid w:val="00CE7561"/>
    <w:rsid w:val="00CF1354"/>
    <w:rsid w:val="00CF1CD7"/>
    <w:rsid w:val="00CF23B3"/>
    <w:rsid w:val="00CF2BB4"/>
    <w:rsid w:val="00CF3B1F"/>
    <w:rsid w:val="00CF3BF6"/>
    <w:rsid w:val="00CF625B"/>
    <w:rsid w:val="00CF687E"/>
    <w:rsid w:val="00D0349B"/>
    <w:rsid w:val="00D03FD5"/>
    <w:rsid w:val="00D046CF"/>
    <w:rsid w:val="00D07E72"/>
    <w:rsid w:val="00D10249"/>
    <w:rsid w:val="00D102D9"/>
    <w:rsid w:val="00D115C3"/>
    <w:rsid w:val="00D11897"/>
    <w:rsid w:val="00D13135"/>
    <w:rsid w:val="00D13840"/>
    <w:rsid w:val="00D13BD6"/>
    <w:rsid w:val="00D13E4E"/>
    <w:rsid w:val="00D17438"/>
    <w:rsid w:val="00D239A7"/>
    <w:rsid w:val="00D23F47"/>
    <w:rsid w:val="00D26920"/>
    <w:rsid w:val="00D27177"/>
    <w:rsid w:val="00D31C53"/>
    <w:rsid w:val="00D35752"/>
    <w:rsid w:val="00D36E71"/>
    <w:rsid w:val="00D37D87"/>
    <w:rsid w:val="00D40038"/>
    <w:rsid w:val="00D40B33"/>
    <w:rsid w:val="00D4318F"/>
    <w:rsid w:val="00D438BF"/>
    <w:rsid w:val="00D43A10"/>
    <w:rsid w:val="00D440F8"/>
    <w:rsid w:val="00D46060"/>
    <w:rsid w:val="00D47952"/>
    <w:rsid w:val="00D50290"/>
    <w:rsid w:val="00D5119C"/>
    <w:rsid w:val="00D53BD3"/>
    <w:rsid w:val="00D546FF"/>
    <w:rsid w:val="00D55AD5"/>
    <w:rsid w:val="00D576CA"/>
    <w:rsid w:val="00D61AF5"/>
    <w:rsid w:val="00D652B5"/>
    <w:rsid w:val="00D66155"/>
    <w:rsid w:val="00D6699D"/>
    <w:rsid w:val="00D708B0"/>
    <w:rsid w:val="00D7123C"/>
    <w:rsid w:val="00D737D0"/>
    <w:rsid w:val="00D73FAF"/>
    <w:rsid w:val="00D7515F"/>
    <w:rsid w:val="00D77818"/>
    <w:rsid w:val="00D77B1D"/>
    <w:rsid w:val="00D8021F"/>
    <w:rsid w:val="00D80383"/>
    <w:rsid w:val="00D8190D"/>
    <w:rsid w:val="00D81E18"/>
    <w:rsid w:val="00D823C6"/>
    <w:rsid w:val="00D8327F"/>
    <w:rsid w:val="00D86CA3"/>
    <w:rsid w:val="00D871CE"/>
    <w:rsid w:val="00D910ED"/>
    <w:rsid w:val="00D9196D"/>
    <w:rsid w:val="00D92982"/>
    <w:rsid w:val="00DA1EF7"/>
    <w:rsid w:val="00DA1F67"/>
    <w:rsid w:val="00DA305E"/>
    <w:rsid w:val="00DA496E"/>
    <w:rsid w:val="00DA5417"/>
    <w:rsid w:val="00DA56E8"/>
    <w:rsid w:val="00DB0A9F"/>
    <w:rsid w:val="00DB0B0E"/>
    <w:rsid w:val="00DB236D"/>
    <w:rsid w:val="00DB377D"/>
    <w:rsid w:val="00DB6778"/>
    <w:rsid w:val="00DB70FB"/>
    <w:rsid w:val="00DC2D36"/>
    <w:rsid w:val="00DC53EF"/>
    <w:rsid w:val="00DC6D14"/>
    <w:rsid w:val="00DC7B7A"/>
    <w:rsid w:val="00DD115F"/>
    <w:rsid w:val="00DD438E"/>
    <w:rsid w:val="00DD48D3"/>
    <w:rsid w:val="00DD7201"/>
    <w:rsid w:val="00DE5608"/>
    <w:rsid w:val="00DE58D0"/>
    <w:rsid w:val="00DE654F"/>
    <w:rsid w:val="00DE69AE"/>
    <w:rsid w:val="00DF0B6E"/>
    <w:rsid w:val="00DF15E0"/>
    <w:rsid w:val="00DF179F"/>
    <w:rsid w:val="00DF37A0"/>
    <w:rsid w:val="00DF6785"/>
    <w:rsid w:val="00DF73C6"/>
    <w:rsid w:val="00E01409"/>
    <w:rsid w:val="00E03957"/>
    <w:rsid w:val="00E074D1"/>
    <w:rsid w:val="00E07C04"/>
    <w:rsid w:val="00E1103D"/>
    <w:rsid w:val="00E110E7"/>
    <w:rsid w:val="00E11B20"/>
    <w:rsid w:val="00E1466E"/>
    <w:rsid w:val="00E17FA2"/>
    <w:rsid w:val="00E22330"/>
    <w:rsid w:val="00E22CE3"/>
    <w:rsid w:val="00E24A96"/>
    <w:rsid w:val="00E2540C"/>
    <w:rsid w:val="00E30B5A"/>
    <w:rsid w:val="00E3123D"/>
    <w:rsid w:val="00E31461"/>
    <w:rsid w:val="00E31D43"/>
    <w:rsid w:val="00E32608"/>
    <w:rsid w:val="00E34188"/>
    <w:rsid w:val="00E34B6E"/>
    <w:rsid w:val="00E35559"/>
    <w:rsid w:val="00E35ECE"/>
    <w:rsid w:val="00E3723A"/>
    <w:rsid w:val="00E37860"/>
    <w:rsid w:val="00E41A64"/>
    <w:rsid w:val="00E42C0B"/>
    <w:rsid w:val="00E43292"/>
    <w:rsid w:val="00E446F1"/>
    <w:rsid w:val="00E46804"/>
    <w:rsid w:val="00E46886"/>
    <w:rsid w:val="00E47AEF"/>
    <w:rsid w:val="00E506C1"/>
    <w:rsid w:val="00E53B75"/>
    <w:rsid w:val="00E53BDB"/>
    <w:rsid w:val="00E54E3B"/>
    <w:rsid w:val="00E56245"/>
    <w:rsid w:val="00E57565"/>
    <w:rsid w:val="00E61155"/>
    <w:rsid w:val="00E623BA"/>
    <w:rsid w:val="00E62C8D"/>
    <w:rsid w:val="00E635DB"/>
    <w:rsid w:val="00E63838"/>
    <w:rsid w:val="00E64434"/>
    <w:rsid w:val="00E67C51"/>
    <w:rsid w:val="00E72EFC"/>
    <w:rsid w:val="00E758EC"/>
    <w:rsid w:val="00E77FE0"/>
    <w:rsid w:val="00E806F9"/>
    <w:rsid w:val="00E8234C"/>
    <w:rsid w:val="00E83AA9"/>
    <w:rsid w:val="00E85928"/>
    <w:rsid w:val="00E87822"/>
    <w:rsid w:val="00E87E4B"/>
    <w:rsid w:val="00E90395"/>
    <w:rsid w:val="00E90E49"/>
    <w:rsid w:val="00E917F9"/>
    <w:rsid w:val="00E9291C"/>
    <w:rsid w:val="00E93FFE"/>
    <w:rsid w:val="00E94149"/>
    <w:rsid w:val="00E94426"/>
    <w:rsid w:val="00E94F8A"/>
    <w:rsid w:val="00E962FA"/>
    <w:rsid w:val="00EA31F8"/>
    <w:rsid w:val="00EA3381"/>
    <w:rsid w:val="00EA4BB1"/>
    <w:rsid w:val="00EA79D3"/>
    <w:rsid w:val="00EA7A41"/>
    <w:rsid w:val="00EB0303"/>
    <w:rsid w:val="00EB0642"/>
    <w:rsid w:val="00EB077B"/>
    <w:rsid w:val="00EB2500"/>
    <w:rsid w:val="00EB4EA2"/>
    <w:rsid w:val="00EB700D"/>
    <w:rsid w:val="00EB7770"/>
    <w:rsid w:val="00EC24D5"/>
    <w:rsid w:val="00EC27C6"/>
    <w:rsid w:val="00EC3F66"/>
    <w:rsid w:val="00EC4207"/>
    <w:rsid w:val="00EC548B"/>
    <w:rsid w:val="00EC5653"/>
    <w:rsid w:val="00EC71CE"/>
    <w:rsid w:val="00ED1006"/>
    <w:rsid w:val="00ED2756"/>
    <w:rsid w:val="00ED2C90"/>
    <w:rsid w:val="00ED63D0"/>
    <w:rsid w:val="00EE552F"/>
    <w:rsid w:val="00EE7442"/>
    <w:rsid w:val="00EF0267"/>
    <w:rsid w:val="00EF18FE"/>
    <w:rsid w:val="00EF3A72"/>
    <w:rsid w:val="00EF3FB6"/>
    <w:rsid w:val="00EF5787"/>
    <w:rsid w:val="00EF60D0"/>
    <w:rsid w:val="00EF66E3"/>
    <w:rsid w:val="00F03692"/>
    <w:rsid w:val="00F0390B"/>
    <w:rsid w:val="00F04C69"/>
    <w:rsid w:val="00F0528D"/>
    <w:rsid w:val="00F06C67"/>
    <w:rsid w:val="00F06DFD"/>
    <w:rsid w:val="00F06EE9"/>
    <w:rsid w:val="00F071D1"/>
    <w:rsid w:val="00F07533"/>
    <w:rsid w:val="00F10011"/>
    <w:rsid w:val="00F10629"/>
    <w:rsid w:val="00F11708"/>
    <w:rsid w:val="00F15FA5"/>
    <w:rsid w:val="00F209B7"/>
    <w:rsid w:val="00F20F5C"/>
    <w:rsid w:val="00F2372C"/>
    <w:rsid w:val="00F2376F"/>
    <w:rsid w:val="00F2386B"/>
    <w:rsid w:val="00F2388F"/>
    <w:rsid w:val="00F243D8"/>
    <w:rsid w:val="00F301B6"/>
    <w:rsid w:val="00F30828"/>
    <w:rsid w:val="00F313D6"/>
    <w:rsid w:val="00F40F0C"/>
    <w:rsid w:val="00F41580"/>
    <w:rsid w:val="00F43921"/>
    <w:rsid w:val="00F46895"/>
    <w:rsid w:val="00F4766C"/>
    <w:rsid w:val="00F5060E"/>
    <w:rsid w:val="00F50708"/>
    <w:rsid w:val="00F507D1"/>
    <w:rsid w:val="00F519CE"/>
    <w:rsid w:val="00F51ADA"/>
    <w:rsid w:val="00F5342A"/>
    <w:rsid w:val="00F547FD"/>
    <w:rsid w:val="00F60039"/>
    <w:rsid w:val="00F60203"/>
    <w:rsid w:val="00F607C5"/>
    <w:rsid w:val="00F60DEA"/>
    <w:rsid w:val="00F6302A"/>
    <w:rsid w:val="00F63950"/>
    <w:rsid w:val="00F64C2B"/>
    <w:rsid w:val="00F64F4B"/>
    <w:rsid w:val="00F651BE"/>
    <w:rsid w:val="00F653D8"/>
    <w:rsid w:val="00F66EFC"/>
    <w:rsid w:val="00F67C0E"/>
    <w:rsid w:val="00F67F53"/>
    <w:rsid w:val="00F703BE"/>
    <w:rsid w:val="00F71F69"/>
    <w:rsid w:val="00F72B72"/>
    <w:rsid w:val="00F73176"/>
    <w:rsid w:val="00F74BB9"/>
    <w:rsid w:val="00F75582"/>
    <w:rsid w:val="00F7677F"/>
    <w:rsid w:val="00F76A4A"/>
    <w:rsid w:val="00F76B3B"/>
    <w:rsid w:val="00F76EFA"/>
    <w:rsid w:val="00F804BE"/>
    <w:rsid w:val="00F817CE"/>
    <w:rsid w:val="00F8456C"/>
    <w:rsid w:val="00F85258"/>
    <w:rsid w:val="00F857AA"/>
    <w:rsid w:val="00F859D8"/>
    <w:rsid w:val="00F85A8E"/>
    <w:rsid w:val="00F868F5"/>
    <w:rsid w:val="00F9056A"/>
    <w:rsid w:val="00F90F8D"/>
    <w:rsid w:val="00F92782"/>
    <w:rsid w:val="00F928C6"/>
    <w:rsid w:val="00F9360F"/>
    <w:rsid w:val="00F93AA9"/>
    <w:rsid w:val="00F96985"/>
    <w:rsid w:val="00F97838"/>
    <w:rsid w:val="00F97CB6"/>
    <w:rsid w:val="00FA0BCD"/>
    <w:rsid w:val="00FA2BB3"/>
    <w:rsid w:val="00FA6DC2"/>
    <w:rsid w:val="00FA737A"/>
    <w:rsid w:val="00FB430A"/>
    <w:rsid w:val="00FB4C80"/>
    <w:rsid w:val="00FB6A6A"/>
    <w:rsid w:val="00FC4B38"/>
    <w:rsid w:val="00FC7429"/>
    <w:rsid w:val="00FD07F6"/>
    <w:rsid w:val="00FD1EC8"/>
    <w:rsid w:val="00FD47ED"/>
    <w:rsid w:val="00FD6C5F"/>
    <w:rsid w:val="00FD74DB"/>
    <w:rsid w:val="00FD7660"/>
    <w:rsid w:val="00FE0655"/>
    <w:rsid w:val="00FE1799"/>
    <w:rsid w:val="00FE2365"/>
    <w:rsid w:val="00FE37D7"/>
    <w:rsid w:val="00FE4C7B"/>
    <w:rsid w:val="00FE7336"/>
    <w:rsid w:val="00FE787C"/>
    <w:rsid w:val="00FF0F7B"/>
    <w:rsid w:val="00FF36E9"/>
    <w:rsid w:val="00FF45A5"/>
    <w:rsid w:val="00FF5247"/>
    <w:rsid w:val="00FF5C91"/>
    <w:rsid w:val="00FF65A8"/>
    <w:rsid w:val="00FF6B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DF67"/>
  <w15:chartTrackingRefBased/>
  <w15:docId w15:val="{752D7CB5-91F0-834E-A2B7-F472992BF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customStyle="1" w:styleId="TableGrid1">
    <w:name w:val="Table Grid1"/>
    <w:basedOn w:val="TableNormal"/>
    <w:next w:val="TableGrid"/>
    <w:rsid w:val="009E2C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58F4"/>
    <w:rPr>
      <w:rFonts w:ascii="Times New Roman" w:hAnsi="Times New Roman"/>
      <w:lang w:eastAsia="ja-JP"/>
    </w:rPr>
  </w:style>
  <w:style w:type="character" w:customStyle="1" w:styleId="EmailDiscussionChar">
    <w:name w:val="EmailDiscussion Char"/>
    <w:link w:val="EmailDiscussion"/>
    <w:qFormat/>
    <w:rsid w:val="00DE69AE"/>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54967">
      <w:bodyDiv w:val="1"/>
      <w:marLeft w:val="0"/>
      <w:marRight w:val="0"/>
      <w:marTop w:val="0"/>
      <w:marBottom w:val="0"/>
      <w:divBdr>
        <w:top w:val="none" w:sz="0" w:space="0" w:color="auto"/>
        <w:left w:val="none" w:sz="0" w:space="0" w:color="auto"/>
        <w:bottom w:val="none" w:sz="0" w:space="0" w:color="auto"/>
        <w:right w:val="none" w:sz="0" w:space="0" w:color="auto"/>
      </w:divBdr>
      <w:divsChild>
        <w:div w:id="1358772278">
          <w:marLeft w:val="0"/>
          <w:marRight w:val="0"/>
          <w:marTop w:val="0"/>
          <w:marBottom w:val="0"/>
          <w:divBdr>
            <w:top w:val="none" w:sz="0" w:space="0" w:color="auto"/>
            <w:left w:val="none" w:sz="0" w:space="0" w:color="auto"/>
            <w:bottom w:val="none" w:sz="0" w:space="0" w:color="auto"/>
            <w:right w:val="none" w:sz="0" w:space="0" w:color="auto"/>
          </w:divBdr>
        </w:div>
      </w:divsChild>
    </w:div>
    <w:div w:id="134221311">
      <w:bodyDiv w:val="1"/>
      <w:marLeft w:val="0"/>
      <w:marRight w:val="0"/>
      <w:marTop w:val="0"/>
      <w:marBottom w:val="0"/>
      <w:divBdr>
        <w:top w:val="none" w:sz="0" w:space="0" w:color="auto"/>
        <w:left w:val="none" w:sz="0" w:space="0" w:color="auto"/>
        <w:bottom w:val="none" w:sz="0" w:space="0" w:color="auto"/>
        <w:right w:val="none" w:sz="0" w:space="0" w:color="auto"/>
      </w:divBdr>
    </w:div>
    <w:div w:id="923028627">
      <w:bodyDiv w:val="1"/>
      <w:marLeft w:val="0"/>
      <w:marRight w:val="0"/>
      <w:marTop w:val="0"/>
      <w:marBottom w:val="0"/>
      <w:divBdr>
        <w:top w:val="none" w:sz="0" w:space="0" w:color="auto"/>
        <w:left w:val="none" w:sz="0" w:space="0" w:color="auto"/>
        <w:bottom w:val="none" w:sz="0" w:space="0" w:color="auto"/>
        <w:right w:val="none" w:sz="0" w:space="0" w:color="auto"/>
      </w:divBdr>
      <w:divsChild>
        <w:div w:id="1127814941">
          <w:marLeft w:val="0"/>
          <w:marRight w:val="0"/>
          <w:marTop w:val="0"/>
          <w:marBottom w:val="0"/>
          <w:divBdr>
            <w:top w:val="none" w:sz="0" w:space="0" w:color="auto"/>
            <w:left w:val="none" w:sz="0" w:space="0" w:color="auto"/>
            <w:bottom w:val="none" w:sz="0" w:space="0" w:color="auto"/>
            <w:right w:val="none" w:sz="0" w:space="0" w:color="auto"/>
          </w:divBdr>
        </w:div>
      </w:divsChild>
    </w:div>
    <w:div w:id="1692683486">
      <w:bodyDiv w:val="1"/>
      <w:marLeft w:val="0"/>
      <w:marRight w:val="0"/>
      <w:marTop w:val="0"/>
      <w:marBottom w:val="0"/>
      <w:divBdr>
        <w:top w:val="none" w:sz="0" w:space="0" w:color="auto"/>
        <w:left w:val="none" w:sz="0" w:space="0" w:color="auto"/>
        <w:bottom w:val="none" w:sz="0" w:space="0" w:color="auto"/>
        <w:right w:val="none" w:sz="0" w:space="0" w:color="auto"/>
      </w:divBdr>
    </w:div>
    <w:div w:id="199919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664F199-8A2A-442A-8B21-37D3DF066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1DFEE6C-9FAD-4E43-A799-18A187E5C771}">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1342</TotalTime>
  <Pages>7</Pages>
  <Words>1817</Words>
  <Characters>10359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Ericsson(Henrik)</dc:creator>
  <cp:keywords>3GPP; Ericsson; TDoc</cp:keywords>
  <dc:description/>
  <cp:lastModifiedBy>Ericsson(Henrik)</cp:lastModifiedBy>
  <cp:revision>58</cp:revision>
  <cp:lastPrinted>2008-01-30T22:09:00Z</cp:lastPrinted>
  <dcterms:created xsi:type="dcterms:W3CDTF">2021-06-30T07:28:00Z</dcterms:created>
  <dcterms:modified xsi:type="dcterms:W3CDTF">2021-08-05T15:39:00Z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